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94085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Аналитическая справка №2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 результатам мониторинга эффективности реализации  «дорожных карт» образовательных организаций, включенных в перечень ОО с низкими образовательными результатами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30 декабря 2020 года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Цель: </w:t>
      </w:r>
      <w:r>
        <w:rPr>
          <w:rFonts w:ascii="Times New Roman" w:hAnsi="Times New Roman"/>
          <w:sz w:val="24"/>
        </w:rPr>
        <w:t>оказание методической помощи школам с низкими образовательными результатами обучающихся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>
      <w:pPr>
        <w:pStyle w:val="P6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проанализировать эффективность запланированных мероприятий «дорожной карты»;</w:t>
      </w:r>
    </w:p>
    <w:p>
      <w:pPr>
        <w:pStyle w:val="P6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определить уровень повышения предметных и методических компетенций учителей;</w:t>
      </w:r>
    </w:p>
    <w:p>
      <w:pPr>
        <w:pStyle w:val="P6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дать рекомендации по формированию отчета по результатам реализации дорожных карт.</w:t>
      </w:r>
    </w:p>
    <w:p>
      <w:pPr>
        <w:pStyle w:val="P6"/>
        <w:ind w:left="720"/>
        <w:jc w:val="both"/>
        <w:rPr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Направления анализа (кластеры):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Эффектив</w:t>
      </w:r>
      <w:r>
        <w:rPr>
          <w:rFonts w:ascii="Times New Roman" w:hAnsi="Times New Roman"/>
          <w:sz w:val="24"/>
        </w:rPr>
        <w:t>ность зап</w:t>
      </w:r>
      <w:r>
        <w:rPr>
          <w:rFonts w:ascii="Times New Roman" w:hAnsi="Times New Roman"/>
          <w:sz w:val="24"/>
        </w:rPr>
        <w:t>ланированных мероприятий: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аплани</w:t>
      </w:r>
      <w:r>
        <w:rPr>
          <w:rFonts w:ascii="Times New Roman" w:hAnsi="Times New Roman"/>
          <w:sz w:val="24"/>
        </w:rPr>
        <w:t xml:space="preserve">рованные мероприятия </w:t>
      </w:r>
      <w:r>
        <w:rPr>
          <w:rFonts w:ascii="Times New Roman" w:hAnsi="Times New Roman"/>
          <w:sz w:val="24"/>
        </w:rPr>
        <w:t>реалистичны;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прослеживается логическая связь между запланированным мероприятием и подтверждающим документом;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итоговые документы подтверждают эффективность запланированного ме</w:t>
      </w:r>
      <w:r>
        <w:rPr>
          <w:rFonts w:ascii="Times New Roman" w:hAnsi="Times New Roman"/>
          <w:sz w:val="24"/>
        </w:rPr>
        <w:t>роприяти</w:t>
      </w:r>
      <w:r>
        <w:rPr>
          <w:sz w:val="24"/>
        </w:rPr>
        <w:t>я.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Повышение </w:t>
      </w:r>
      <w:r>
        <w:rPr>
          <w:rFonts w:ascii="Times New Roman" w:hAnsi="Times New Roman"/>
          <w:sz w:val="24"/>
        </w:rPr>
        <w:t>предметных и методических компетенций учителей</w:t>
      </w:r>
      <w:r>
        <w:rPr>
          <w:rFonts w:ascii="Times New Roman" w:hAnsi="Times New Roman"/>
          <w:sz w:val="24"/>
        </w:rPr>
        <w:t>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количество ОО</w:t>
      </w:r>
      <w:r>
        <w:rPr>
          <w:rFonts w:ascii="Times New Roman" w:hAnsi="Times New Roman"/>
          <w:sz w:val="24"/>
        </w:rPr>
        <w:t xml:space="preserve">, в которых </w:t>
      </w:r>
      <w:r>
        <w:rPr>
          <w:rFonts w:ascii="Times New Roman" w:hAnsi="Times New Roman"/>
          <w:sz w:val="24"/>
        </w:rPr>
        <w:t>учителя</w:t>
      </w:r>
      <w:r>
        <w:rPr>
          <w:rFonts w:ascii="Times New Roman" w:hAnsi="Times New Roman"/>
          <w:sz w:val="24"/>
        </w:rPr>
        <w:t xml:space="preserve"> прошли</w:t>
      </w:r>
      <w:r>
        <w:rPr>
          <w:rFonts w:ascii="Times New Roman" w:hAnsi="Times New Roman"/>
          <w:sz w:val="24"/>
        </w:rPr>
        <w:t xml:space="preserve"> повышение квалификации в ГАУ ДПО "Брянский </w:t>
      </w:r>
      <w:r>
        <w:rPr>
          <w:rFonts w:ascii="Times New Roman" w:hAnsi="Times New Roman"/>
          <w:sz w:val="24"/>
        </w:rPr>
        <w:t>институт</w:t>
      </w:r>
      <w:r>
        <w:rPr>
          <w:rFonts w:ascii="Times New Roman" w:hAnsi="Times New Roman"/>
          <w:sz w:val="24"/>
        </w:rPr>
        <w:t xml:space="preserve"> повышения квалификации работников образования"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соответственно</w:t>
      </w:r>
      <w:r>
        <w:rPr>
          <w:rFonts w:ascii="Times New Roman" w:hAnsi="Times New Roman"/>
          <w:sz w:val="24"/>
        </w:rPr>
        <w:t xml:space="preserve"> прошедшие оценку </w:t>
      </w:r>
      <w:r>
        <w:rPr>
          <w:rFonts w:ascii="Times New Roman" w:hAnsi="Times New Roman"/>
          <w:sz w:val="24"/>
        </w:rPr>
        <w:t>предметных и</w:t>
      </w:r>
      <w:r>
        <w:rPr>
          <w:rFonts w:ascii="Times New Roman" w:hAnsi="Times New Roman"/>
          <w:sz w:val="24"/>
        </w:rPr>
        <w:t xml:space="preserve"> методических компетенций)</w:t>
      </w:r>
      <w:r>
        <w:rPr>
          <w:rFonts w:ascii="Times New Roman" w:hAnsi="Times New Roman"/>
          <w:sz w:val="24"/>
        </w:rPr>
        <w:t>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 xml:space="preserve">количество ОО, в которых </w:t>
      </w:r>
      <w:r>
        <w:rPr>
          <w:rFonts w:ascii="Times New Roman" w:hAnsi="Times New Roman"/>
          <w:sz w:val="24"/>
        </w:rPr>
        <w:t>учителя</w:t>
      </w:r>
      <w:r>
        <w:rPr>
          <w:rFonts w:ascii="Times New Roman" w:hAnsi="Times New Roman"/>
          <w:sz w:val="24"/>
        </w:rPr>
        <w:t xml:space="preserve"> участвовали</w:t>
      </w:r>
      <w:r>
        <w:rPr>
          <w:rFonts w:ascii="Times New Roman" w:hAnsi="Times New Roman"/>
          <w:sz w:val="24"/>
        </w:rPr>
        <w:t xml:space="preserve"> в обмене</w:t>
      </w:r>
      <w:r>
        <w:rPr>
          <w:rFonts w:ascii="Times New Roman" w:hAnsi="Times New Roman"/>
          <w:sz w:val="24"/>
        </w:rPr>
        <w:t xml:space="preserve"> опытом</w:t>
      </w:r>
      <w:r>
        <w:rPr>
          <w:rFonts w:ascii="Times New Roman" w:hAnsi="Times New Roman"/>
          <w:sz w:val="24"/>
        </w:rPr>
        <w:t>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колич</w:t>
      </w:r>
      <w:r>
        <w:rPr>
          <w:rFonts w:ascii="Times New Roman" w:hAnsi="Times New Roman"/>
          <w:sz w:val="24"/>
        </w:rPr>
        <w:t>ество ОО, в которых учителя пр</w:t>
      </w:r>
      <w:r>
        <w:rPr>
          <w:rFonts w:ascii="Times New Roman" w:hAnsi="Times New Roman"/>
          <w:sz w:val="24"/>
        </w:rPr>
        <w:t>ошли повы</w:t>
      </w:r>
      <w:r>
        <w:rPr>
          <w:rFonts w:ascii="Times New Roman" w:hAnsi="Times New Roman"/>
          <w:sz w:val="24"/>
        </w:rPr>
        <w:t>шение квалификации на платформе Академии Минпросвещения России.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анализа</w:t>
      </w:r>
      <w:r>
        <w:rPr>
          <w:rFonts w:ascii="Times New Roman" w:hAnsi="Times New Roman"/>
          <w:sz w:val="24"/>
        </w:rPr>
        <w:t>: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Эффективность запланированных мероприятий: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запланированные мероприятия реалистичны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19 (</w:t>
      </w:r>
      <w:r>
        <w:rPr>
          <w:rFonts w:ascii="Times New Roman" w:hAnsi="Times New Roman"/>
          <w:sz w:val="24"/>
        </w:rPr>
        <w:t>100%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образовательных организаций</w:t>
      </w:r>
      <w:r>
        <w:rPr>
          <w:rFonts w:ascii="Times New Roman" w:hAnsi="Times New Roman"/>
          <w:sz w:val="24"/>
        </w:rPr>
        <w:t>;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прослеживается логическая связь между запланированным мероприятием и подтверждающим документом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18 (</w:t>
      </w:r>
      <w:r>
        <w:rPr>
          <w:rFonts w:ascii="Times New Roman" w:hAnsi="Times New Roman"/>
          <w:sz w:val="24"/>
        </w:rPr>
        <w:t>95</w:t>
      </w:r>
      <w:r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образовательных организаций</w:t>
      </w:r>
      <w:r>
        <w:rPr>
          <w:rFonts w:ascii="Times New Roman" w:hAnsi="Times New Roman"/>
          <w:sz w:val="24"/>
        </w:rPr>
        <w:t>;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итоговые документы подтверждают эффективность запланированного мероприяти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 (</w:t>
      </w:r>
      <w:r>
        <w:rPr>
          <w:rFonts w:ascii="Times New Roman" w:hAnsi="Times New Roman"/>
          <w:sz w:val="24"/>
        </w:rPr>
        <w:t>80</w:t>
      </w:r>
      <w:r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образовательных организаций</w:t>
      </w:r>
      <w:r>
        <w:rPr>
          <w:sz w:val="24"/>
        </w:rPr>
        <w:t>.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Повышение предметных и методических компетенций учителей: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количество ОО, в которых учителя прошли повышение квалификации в ГАУ ДПО "Брянский институт повышения квалификации работников образования" (соответственно прошедшие оценку предметных и методических компетенций)</w:t>
      </w:r>
      <w:r>
        <w:rPr>
          <w:rFonts w:ascii="Times New Roman" w:hAnsi="Times New Roman"/>
          <w:sz w:val="24"/>
        </w:rPr>
        <w:t xml:space="preserve"> - 19 (100%)</w:t>
      </w:r>
      <w:r>
        <w:rPr>
          <w:rFonts w:ascii="Times New Roman" w:hAnsi="Times New Roman"/>
          <w:sz w:val="24"/>
        </w:rPr>
        <w:t>;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количество ОО, в которых учителя участвовали в обмене опытом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10 (50%)</w:t>
      </w:r>
      <w:r>
        <w:rPr>
          <w:rFonts w:ascii="Times New Roman" w:hAnsi="Times New Roman"/>
          <w:sz w:val="24"/>
        </w:rPr>
        <w:t>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количество ОО, в которых учителя прошли повышение квалификации на платформе Академии Минпросвещения России</w:t>
      </w:r>
      <w:r>
        <w:rPr>
          <w:rFonts w:ascii="Times New Roman" w:hAnsi="Times New Roman"/>
          <w:sz w:val="24"/>
        </w:rPr>
        <w:t xml:space="preserve"> - 19 (100%)</w:t>
      </w:r>
      <w:r>
        <w:rPr>
          <w:rFonts w:ascii="Times New Roman" w:hAnsi="Times New Roman"/>
          <w:sz w:val="24"/>
        </w:rPr>
        <w:t>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Выводы:</w:t>
      </w:r>
    </w:p>
    <w:p>
      <w:pPr>
        <w:pStyle w:val="P6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ОО внесли изменения в дорожную карту в соответствии с рекомендациями, данными на совещании, проводимом О.Г.Викульевой, заведующим центром мониторинга ГАУ ДПО «БИПКРО». </w:t>
      </w:r>
    </w:p>
    <w:p>
      <w:pPr>
        <w:pStyle w:val="P6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Примеры реализации мероприятий «дорожной карты» и наличия подтверждающих документов</w:t>
      </w:r>
      <w:r>
        <w:rPr>
          <w:sz w:val="24"/>
        </w:rPr>
        <w:t>:</w:t>
      </w:r>
    </w:p>
    <w:p>
      <w:pPr>
        <w:pStyle w:val="P6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выявление группы обучающихся с неблагоприятной оценочной ситуацией - выписка из социального паспорта школы;</w:t>
      </w:r>
    </w:p>
    <w:p>
      <w:pPr>
        <w:pStyle w:val="P6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индивидуальная работа с обучающимися с рисками учебной неуспешности - план работы по математике с неуспевающей 9 класса;</w:t>
      </w:r>
    </w:p>
    <w:p>
      <w:pPr>
        <w:pStyle w:val="P6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открытое занятие по внеурочной деятельности - технологическая карта  занятия по внеурочной деятельности по теме «Читательская грамотность: стратегии смыслового чтения»; </w:t>
      </w:r>
    </w:p>
    <w:p>
      <w:pPr>
        <w:pStyle w:val="P6"/>
        <w:numPr>
          <w:ilvl w:val="0"/>
          <w:numId w:val="10"/>
        </w:numPr>
        <w:jc w:val="both"/>
        <w:rPr>
          <w:sz w:val="24"/>
        </w:rPr>
      </w:pPr>
      <w:r>
        <w:rPr>
          <w:color w:val="000000"/>
          <w:sz w:val="24"/>
        </w:rPr>
        <w:t xml:space="preserve">проведение родительского собрания - </w:t>
      </w:r>
      <w:r>
        <w:rPr>
          <w:sz w:val="24"/>
        </w:rPr>
        <w:t>протокол родительского собрания в 5 классе;</w:t>
      </w:r>
    </w:p>
    <w:p>
      <w:pPr>
        <w:pStyle w:val="P6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обучающий семинар по теме «Система дистанционного обучения как эффективный инструмент образовательной деятельности» - справка  по итогам методического семинара по теме «Система дистанционного обучения как эффективный инструмент образовательной деятельности»;</w:t>
      </w:r>
    </w:p>
    <w:p>
      <w:pPr>
        <w:pStyle w:val="P6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психологический тренинг для учителей  по теме «Мотивируем учеников на успех» - сценарий психологического тренинга для учителей  «Мотивируем учеников на успех»;</w:t>
      </w:r>
    </w:p>
    <w:p>
      <w:pPr>
        <w:pStyle w:val="P6"/>
        <w:numPr>
          <w:ilvl w:val="0"/>
          <w:numId w:val="10"/>
        </w:numPr>
        <w:shd w:val="clear" w:fill="FFFFFF"/>
        <w:jc w:val="both"/>
        <w:rPr>
          <w:color w:val="000000"/>
          <w:sz w:val="24"/>
        </w:rPr>
      </w:pPr>
      <w:r>
        <w:rPr>
          <w:sz w:val="24"/>
        </w:rPr>
        <w:t>участие школьников в конкурсах – информационно-аналитическая справка об успешности участия;</w:t>
      </w:r>
    </w:p>
    <w:p>
      <w:pPr>
        <w:pStyle w:val="P6"/>
        <w:numPr>
          <w:ilvl w:val="0"/>
          <w:numId w:val="10"/>
        </w:numPr>
        <w:shd w:val="clear" w:fill="FFFFFF"/>
        <w:jc w:val="both"/>
        <w:rPr>
          <w:color w:val="auto"/>
          <w:sz w:val="24"/>
        </w:rPr>
      </w:pPr>
      <w:r>
        <w:rPr>
          <w:color w:val="000000"/>
          <w:sz w:val="24"/>
        </w:rPr>
        <w:t xml:space="preserve">обмен педагогическим опытом в форме взаимопосещения уроков - </w:t>
      </w:r>
      <w:r>
        <w:rPr>
          <w:color w:val="333333"/>
          <w:sz w:val="24"/>
        </w:rPr>
        <w:t>т</w:t>
      </w:r>
      <w:r>
        <w:rPr>
          <w:color w:val="auto"/>
          <w:sz w:val="24"/>
        </w:rPr>
        <w:t>етрадь взаимопосещения уроков педагогическими работниками.</w:t>
      </w:r>
    </w:p>
    <w:p>
      <w:pPr>
        <w:pStyle w:val="P6"/>
        <w:shd w:val="clear" w:fill="FFFFFF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3. </w:t>
      </w:r>
      <w:r>
        <w:rPr>
          <w:color w:val="auto"/>
          <w:sz w:val="24"/>
        </w:rPr>
        <w:t>Предоставленные</w:t>
      </w:r>
      <w:r>
        <w:rPr>
          <w:color w:val="auto"/>
          <w:sz w:val="24"/>
        </w:rPr>
        <w:t xml:space="preserve"> для анализа материал</w:t>
      </w:r>
      <w:r>
        <w:rPr>
          <w:color w:val="auto"/>
          <w:sz w:val="24"/>
        </w:rPr>
        <w:t>ы свидетельствую</w:t>
      </w:r>
      <w:r>
        <w:rPr>
          <w:color w:val="auto"/>
          <w:sz w:val="24"/>
        </w:rPr>
        <w:t>т</w:t>
      </w:r>
      <w:r>
        <w:rPr>
          <w:color w:val="auto"/>
          <w:sz w:val="24"/>
        </w:rPr>
        <w:t xml:space="preserve"> о </w:t>
      </w:r>
      <w:r>
        <w:rPr>
          <w:color w:val="auto"/>
          <w:sz w:val="24"/>
        </w:rPr>
        <w:t>повышении</w:t>
      </w:r>
      <w:r>
        <w:rPr>
          <w:color w:val="auto"/>
          <w:sz w:val="24"/>
        </w:rPr>
        <w:t xml:space="preserve"> компетенций учителей</w:t>
      </w:r>
      <w:r>
        <w:rPr>
          <w:color w:val="auto"/>
          <w:sz w:val="24"/>
        </w:rPr>
        <w:t xml:space="preserve">: </w:t>
      </w:r>
      <w:r>
        <w:rPr>
          <w:color w:val="auto"/>
          <w:sz w:val="24"/>
        </w:rPr>
        <w:t xml:space="preserve">сценарии и видеозапись </w:t>
      </w:r>
      <w:r>
        <w:rPr>
          <w:color w:val="auto"/>
          <w:sz w:val="24"/>
        </w:rPr>
        <w:t>мастер-класс</w:t>
      </w:r>
      <w:r>
        <w:rPr>
          <w:color w:val="auto"/>
          <w:sz w:val="24"/>
        </w:rPr>
        <w:t>ов</w:t>
      </w:r>
      <w:r>
        <w:rPr>
          <w:color w:val="auto"/>
          <w:sz w:val="24"/>
        </w:rPr>
        <w:t xml:space="preserve">, 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технологические карты уроков, сценарии мероприятий, протоколы проведения </w:t>
      </w:r>
      <w:r>
        <w:rPr>
          <w:color w:val="auto"/>
          <w:sz w:val="24"/>
        </w:rPr>
        <w:t>методических</w:t>
      </w:r>
      <w:r>
        <w:rPr>
          <w:color w:val="auto"/>
          <w:sz w:val="24"/>
        </w:rPr>
        <w:t xml:space="preserve"> дней и т.д.</w:t>
      </w:r>
    </w:p>
    <w:p>
      <w:pPr>
        <w:pStyle w:val="P6"/>
        <w:shd w:val="clear" w:fill="FFFFFF"/>
        <w:jc w:val="both"/>
        <w:rPr>
          <w:color w:val="auto"/>
          <w:sz w:val="24"/>
        </w:rPr>
      </w:pPr>
    </w:p>
    <w:p>
      <w:pPr>
        <w:pStyle w:val="P6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Замечания:</w:t>
      </w:r>
      <w:r>
        <w:rPr>
          <w:sz w:val="24"/>
        </w:rPr>
        <w:t xml:space="preserve"> некоторые </w:t>
      </w:r>
      <w:r>
        <w:rPr>
          <w:sz w:val="24"/>
        </w:rPr>
        <w:t>и</w:t>
      </w:r>
      <w:r>
        <w:rPr>
          <w:sz w:val="24"/>
        </w:rPr>
        <w:t>тоговые документы не являются подтверждающими</w:t>
      </w:r>
      <w:r>
        <w:rPr>
          <w:sz w:val="24"/>
        </w:rPr>
        <w:t>, например</w:t>
      </w:r>
      <w:r>
        <w:rPr>
          <w:sz w:val="24"/>
        </w:rPr>
        <w:t xml:space="preserve">: </w:t>
      </w:r>
    </w:p>
    <w:p>
      <w:pPr>
        <w:pStyle w:val="P6"/>
        <w:numPr>
          <w:ilvl w:val="0"/>
          <w:numId w:val="6"/>
        </w:numPr>
        <w:shd w:val="clear" w:fill="FFFFFF"/>
        <w:jc w:val="both"/>
        <w:rPr>
          <w:color w:val="000000"/>
          <w:sz w:val="24"/>
        </w:rPr>
      </w:pPr>
      <w:r>
        <w:rPr>
          <w:sz w:val="24"/>
        </w:rPr>
        <w:t>совершенствование методических компетенций учителей – аналитическая справка по результатам ВПР;</w:t>
      </w:r>
    </w:p>
    <w:p>
      <w:pPr>
        <w:pStyle w:val="P6"/>
        <w:numPr>
          <w:ilvl w:val="0"/>
          <w:numId w:val="6"/>
        </w:numPr>
        <w:shd w:val="clear" w:fill="FFFFFF"/>
        <w:jc w:val="both"/>
        <w:rPr>
          <w:color w:val="000000"/>
          <w:sz w:val="24"/>
        </w:rPr>
      </w:pPr>
      <w:r>
        <w:rPr>
          <w:sz w:val="24"/>
        </w:rPr>
        <w:t xml:space="preserve">педагогический совет по теме «Организация образовательного процесса на основе результатов Всероссийских проверочных работ, проведенных в сентябре-октябре 2020 года» - </w:t>
      </w:r>
      <w:r>
        <w:rPr>
          <w:color w:val="000000"/>
          <w:sz w:val="24"/>
        </w:rPr>
        <w:t xml:space="preserve"> </w:t>
      </w:r>
      <w:r>
        <w:rPr>
          <w:sz w:val="24"/>
        </w:rPr>
        <w:t>аналитическая справка по результатам ВПР.</w:t>
      </w:r>
      <w:r>
        <w:rPr>
          <w:color w:val="000000"/>
          <w:sz w:val="24"/>
        </w:rPr>
        <w:t xml:space="preserve">                                                                                     </w:t>
      </w:r>
    </w:p>
    <w:p>
      <w:pPr>
        <w:pStyle w:val="P6"/>
        <w:ind w:left="1440"/>
        <w:jc w:val="both"/>
        <w:rPr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Управленческие решения:</w:t>
      </w:r>
    </w:p>
    <w:p>
      <w:pPr>
        <w:pStyle w:val="P6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провести семинар по теме «Мониторинг дорожных карт: выводы и рекомендации» с целью оказания методической помощи в определении показателей, критериев и методов сбора информации при разработке дорожных карт (январь 2021 года);</w:t>
      </w:r>
    </w:p>
    <w:p>
      <w:pPr>
        <w:pStyle w:val="P6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провести индивидуальные консультации с руководителями ОО по результатам мониторинга дорожных карт.</w:t>
      </w:r>
    </w:p>
    <w:p>
      <w:pPr>
        <w:pStyle w:val="P6"/>
        <w:ind w:left="720"/>
        <w:jc w:val="both"/>
        <w:rPr>
          <w:sz w:val="24"/>
        </w:rPr>
      </w:pPr>
    </w:p>
    <w:p>
      <w:pPr>
        <w:pStyle w:val="P6"/>
        <w:ind w:left="720"/>
        <w:jc w:val="right"/>
        <w:rPr>
          <w:sz w:val="24"/>
        </w:rPr>
      </w:pPr>
      <w:r>
        <w:rPr>
          <w:sz w:val="24"/>
        </w:rPr>
        <w:t xml:space="preserve">О.Г.Викульева, заведующий центром </w:t>
      </w:r>
    </w:p>
    <w:p>
      <w:pPr>
        <w:pStyle w:val="P6"/>
        <w:ind w:left="720"/>
        <w:jc w:val="right"/>
        <w:rPr>
          <w:sz w:val="24"/>
        </w:rPr>
      </w:pPr>
      <w:r>
        <w:rPr>
          <w:sz w:val="24"/>
        </w:rPr>
        <w:t>мониторинга и инновационной деятельности.</w:t>
      </w:r>
    </w:p>
    <w:p>
      <w:pPr>
        <w:pStyle w:val="P6"/>
        <w:ind w:left="720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P6"/>
        <w:ind w:left="720"/>
        <w:jc w:val="both"/>
        <w:rPr>
          <w:sz w:val="24"/>
        </w:rPr>
      </w:pPr>
    </w:p>
    <w:p>
      <w:pPr>
        <w:pStyle w:val="P6"/>
        <w:ind w:left="720"/>
        <w:jc w:val="both"/>
        <w:rPr>
          <w:sz w:val="24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720" w:right="720" w:top="720" w:bottom="720" w:header="708" w:footer="708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8"/>
    </w:pPr>
  </w:p>
</w:ftr>
</file>

<file path=word/numbering.xml><?xml version="1.0" encoding="utf-8"?>
<w:numbering xmlns:w="http://schemas.openxmlformats.org/wordprocessingml/2006/main">
  <w:abstractNum w:abstractNumId="0">
    <w:nsid w:val="00C236A7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50376C4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01360EB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21AD303B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>
        <w:b w:val="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282A19C7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2F4D69F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6">
    <w:nsid w:val="313745F5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3EF756E5"/>
    <w:multiLevelType w:val="hybridMultilevel"/>
    <w:lvl w:ilvl="0" w:tplc="B8564FFA">
      <w:start w:val="3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108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840"/>
      </w:pPr>
      <w:rPr/>
    </w:lvl>
  </w:abstractNum>
  <w:abstractNum w:abstractNumId="8">
    <w:nsid w:val="48D12C81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nsid w:val="5A5A6C33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0">
    <w:nsid w:val="61E55FDA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1">
    <w:nsid w:val="69CF6A86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2">
    <w:nsid w:val="6A9A5EDF"/>
    <w:multiLevelType w:val="hybridMultilevel"/>
    <w:lvl w:ilvl="0" w:tplc="1B92FE3E">
      <w:start w:val="1"/>
      <w:numFmt w:val="decimal"/>
      <w:suff w:val="tab"/>
      <w:lvlText w:val="%1."/>
      <w:lvlJc w:val="left"/>
      <w:pPr>
        <w:ind w:hanging="360" w:left="1080"/>
      </w:pPr>
      <w:rPr>
        <w:rFonts w:ascii="Times New Roman" w:hAnsi="Times New Roman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71CE352D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heading 3"/>
    <w:basedOn w:val="P0"/>
    <w:next w:val="P0"/>
    <w:pPr>
      <w:spacing w:lineRule="auto" w:line="240" w:after="0" w:beforeAutospacing="0" w:afterAutospacing="0"/>
      <w:ind w:left="360"/>
      <w:outlineLvl w:val="2"/>
    </w:pPr>
    <w:rPr>
      <w:rFonts w:ascii="Times New Roman" w:hAnsi="Times New Roman"/>
      <w:sz w:val="28"/>
    </w:rPr>
  </w:style>
  <w:style w:type="paragraph" w:styleId="P2">
    <w:name w:val="No Spacing"/>
    <w:basedOn w:val="P0"/>
    <w:pPr>
      <w:spacing w:lineRule="auto" w:line="240" w:after="0" w:beforeAutospacing="0" w:afterAutospacing="0"/>
    </w:pPr>
    <w:rPr>
      <w:rFonts w:ascii="Times New Roman" w:hAnsi="Times New Roman"/>
      <w:sz w:val="28"/>
    </w:rPr>
  </w:style>
  <w:style w:type="paragraph" w:styleId="P3">
    <w:name w:val="Default"/>
    <w:basedOn w:val="P0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4">
    <w:name w:val="Table Paragraph"/>
    <w:basedOn w:val="P0"/>
    <w:pPr>
      <w:spacing w:lineRule="auto" w:line="240" w:after="0" w:beforeAutospacing="0" w:afterAutospacing="0"/>
    </w:pPr>
    <w:rPr>
      <w:rFonts w:ascii="Times New Roman" w:hAnsi="Times New Roman"/>
    </w:rPr>
  </w:style>
  <w:style w:type="paragraph" w:styleId="P5">
    <w:name w:val="Normal (Web)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paragraph" w:styleId="P6">
    <w:name w:val="List Paragraph"/>
    <w:basedOn w:val="P0"/>
    <w:link w:val="C6"/>
    <w:qFormat/>
    <w:pPr>
      <w:spacing w:lineRule="auto" w:line="240" w:after="0" w:beforeAutospacing="0" w:afterAutospacing="0"/>
      <w:ind w:left="373"/>
    </w:pPr>
    <w:rPr>
      <w:rFonts w:ascii="Times New Roman" w:hAnsi="Times New Roman"/>
    </w:rPr>
  </w:style>
  <w:style w:type="paragraph" w:styleId="P7">
    <w:name w:val="header"/>
    <w:basedOn w:val="P0"/>
    <w:link w:val="C7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8">
    <w:name w:val="footer"/>
    <w:basedOn w:val="P0"/>
    <w:link w:val="C8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rPr>
      <w:b w:val="1"/>
    </w:rPr>
  </w:style>
  <w:style w:type="character" w:styleId="C4">
    <w:name w:val="c21"/>
    <w:basedOn w:val="C0"/>
    <w:rPr/>
  </w:style>
  <w:style w:type="character" w:styleId="C5">
    <w:name w:val="Основной текст (2) + 105 pt"/>
    <w:rPr>
      <w:rFonts w:ascii="Times New Roman" w:hAnsi="Times New Roman"/>
      <w:color w:val="000000"/>
      <w:sz w:val="21"/>
    </w:rPr>
  </w:style>
  <w:style w:type="character" w:styleId="C6">
    <w:name w:val="Абзац списка Знак"/>
    <w:basedOn w:val="C0"/>
    <w:link w:val="P6"/>
    <w:rPr>
      <w:rFonts w:ascii="Times New Roman" w:hAnsi="Times New Roman"/>
    </w:rPr>
  </w:style>
  <w:style w:type="character" w:styleId="C7">
    <w:name w:val="Верхний колонтитул Знак"/>
    <w:basedOn w:val="C0"/>
    <w:link w:val="P7"/>
    <w:semiHidden/>
    <w:rPr/>
  </w:style>
  <w:style w:type="character" w:styleId="C8">
    <w:name w:val="Нижний колонтитул Знак"/>
    <w:basedOn w:val="C0"/>
    <w:link w:val="P8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