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A3E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справка №1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мониторинга формирования «дорожных карт» образовательных организаций,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включенных в перечень ОО с низкими образовательными результатами обучающихся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ноября 2020 года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оказание методической помощи школам с низкими образовательными результатами обучающихся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>
      <w:pPr>
        <w:pStyle w:val="P3"/>
        <w:numPr>
          <w:ilvl w:val="0"/>
          <w:numId w:val="10"/>
        </w:numPr>
        <w:ind w:firstLine="284" w:left="0"/>
        <w:jc w:val="both"/>
        <w:rPr>
          <w:sz w:val="24"/>
        </w:rPr>
      </w:pPr>
      <w:r>
        <w:rPr>
          <w:sz w:val="24"/>
        </w:rPr>
        <w:t>выявить основные направления работы школ по преодолению рисков неуспешности;</w:t>
      </w:r>
    </w:p>
    <w:p>
      <w:pPr>
        <w:pStyle w:val="P3"/>
        <w:numPr>
          <w:ilvl w:val="0"/>
          <w:numId w:val="10"/>
        </w:numPr>
        <w:ind w:firstLine="284" w:left="0"/>
        <w:jc w:val="both"/>
        <w:rPr>
          <w:sz w:val="24"/>
        </w:rPr>
      </w:pPr>
      <w:r>
        <w:rPr>
          <w:sz w:val="24"/>
        </w:rPr>
        <w:t>запланировать мероприятия по оказанию методической помощи по реализации дорожной карты;</w:t>
      </w:r>
    </w:p>
    <w:p>
      <w:pPr>
        <w:pStyle w:val="P3"/>
        <w:numPr>
          <w:ilvl w:val="0"/>
          <w:numId w:val="10"/>
        </w:numPr>
        <w:ind w:firstLine="284" w:left="0"/>
        <w:jc w:val="both"/>
        <w:rPr>
          <w:sz w:val="24"/>
        </w:rPr>
      </w:pPr>
      <w:r>
        <w:rPr>
          <w:sz w:val="24"/>
        </w:rPr>
        <w:t>контролировать готовность дорожной карты к реализации;</w:t>
      </w:r>
    </w:p>
    <w:p>
      <w:pPr>
        <w:pStyle w:val="P3"/>
        <w:numPr>
          <w:ilvl w:val="0"/>
          <w:numId w:val="10"/>
        </w:numPr>
        <w:ind w:firstLine="284" w:left="0"/>
        <w:jc w:val="both"/>
        <w:rPr>
          <w:sz w:val="24"/>
        </w:rPr>
      </w:pPr>
      <w:r>
        <w:rPr>
          <w:sz w:val="24"/>
        </w:rPr>
        <w:t>оказать методическую помощь во внесении изменений в дорожную карту в соответствии с замечаниями.</w:t>
      </w:r>
    </w:p>
    <w:p>
      <w:pPr>
        <w:pStyle w:val="P3"/>
        <w:ind w:left="284"/>
        <w:jc w:val="both"/>
        <w:rPr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анализа (кластеры):</w:t>
      </w:r>
    </w:p>
    <w:p>
      <w:pPr>
        <w:pStyle w:val="P3"/>
        <w:ind w:firstLine="284" w:left="0"/>
        <w:jc w:val="both"/>
        <w:rPr>
          <w:sz w:val="24"/>
        </w:rPr>
      </w:pPr>
      <w:r>
        <w:rPr>
          <w:sz w:val="24"/>
        </w:rPr>
        <w:t>Школы, выбравшие направления работы:</w:t>
      </w:r>
    </w:p>
    <w:p>
      <w:pPr>
        <w:pStyle w:val="P3"/>
        <w:numPr>
          <w:ilvl w:val="0"/>
          <w:numId w:val="12"/>
        </w:numPr>
        <w:ind w:firstLine="284" w:left="0"/>
        <w:jc w:val="both"/>
        <w:rPr>
          <w:sz w:val="24"/>
        </w:rPr>
      </w:pPr>
      <w:r>
        <w:rPr>
          <w:sz w:val="24"/>
        </w:rPr>
        <w:t>учителя, учащиеся и родители;</w:t>
      </w:r>
    </w:p>
    <w:p>
      <w:pPr>
        <w:pStyle w:val="P3"/>
        <w:numPr>
          <w:ilvl w:val="0"/>
          <w:numId w:val="12"/>
        </w:numPr>
        <w:ind w:firstLine="284" w:left="0"/>
        <w:jc w:val="both"/>
        <w:rPr>
          <w:sz w:val="24"/>
        </w:rPr>
      </w:pPr>
      <w:r>
        <w:rPr>
          <w:sz w:val="24"/>
        </w:rPr>
        <w:t>учителя, учащиеся;</w:t>
      </w:r>
    </w:p>
    <w:p>
      <w:pPr>
        <w:pStyle w:val="P3"/>
        <w:numPr>
          <w:ilvl w:val="0"/>
          <w:numId w:val="12"/>
        </w:numPr>
        <w:ind w:firstLine="284" w:left="0"/>
        <w:jc w:val="both"/>
        <w:rPr>
          <w:sz w:val="24"/>
        </w:rPr>
      </w:pPr>
      <w:r>
        <w:rPr>
          <w:sz w:val="24"/>
        </w:rPr>
        <w:t>учителя, родители;</w:t>
      </w:r>
    </w:p>
    <w:p>
      <w:pPr>
        <w:pStyle w:val="P3"/>
        <w:numPr>
          <w:ilvl w:val="0"/>
          <w:numId w:val="12"/>
        </w:numPr>
        <w:ind w:firstLine="284" w:left="0"/>
        <w:jc w:val="both"/>
        <w:rPr>
          <w:sz w:val="24"/>
        </w:rPr>
      </w:pPr>
      <w:r>
        <w:rPr>
          <w:sz w:val="24"/>
        </w:rPr>
        <w:t>учащиеся, родители.</w:t>
      </w:r>
    </w:p>
    <w:p>
      <w:pPr>
        <w:pStyle w:val="P3"/>
        <w:ind w:firstLine="284" w:left="0"/>
        <w:jc w:val="both"/>
        <w:rPr>
          <w:sz w:val="24"/>
        </w:rPr>
      </w:pPr>
      <w:r>
        <w:rPr>
          <w:sz w:val="24"/>
        </w:rPr>
        <w:t>Направления работы совершенствованию компетенций учителей:</w:t>
      </w:r>
    </w:p>
    <w:p>
      <w:pPr>
        <w:pStyle w:val="P3"/>
        <w:numPr>
          <w:ilvl w:val="0"/>
          <w:numId w:val="13"/>
        </w:numPr>
        <w:ind w:firstLine="284" w:left="0"/>
        <w:jc w:val="both"/>
        <w:rPr>
          <w:sz w:val="24"/>
        </w:rPr>
      </w:pPr>
      <w:r>
        <w:rPr>
          <w:sz w:val="24"/>
        </w:rPr>
        <w:t>предметных и методических компетенций (профессиональное развитие);</w:t>
      </w:r>
    </w:p>
    <w:p>
      <w:pPr>
        <w:pStyle w:val="P3"/>
        <w:numPr>
          <w:ilvl w:val="0"/>
          <w:numId w:val="13"/>
        </w:numPr>
        <w:ind w:firstLine="284" w:left="0"/>
        <w:jc w:val="both"/>
        <w:rPr>
          <w:sz w:val="24"/>
        </w:rPr>
      </w:pPr>
      <w:r>
        <w:rPr>
          <w:sz w:val="24"/>
        </w:rPr>
        <w:t>профессионального роста по отдельному направлению;</w:t>
      </w:r>
    </w:p>
    <w:p>
      <w:pPr>
        <w:pStyle w:val="P3"/>
        <w:numPr>
          <w:ilvl w:val="0"/>
          <w:numId w:val="13"/>
        </w:numPr>
        <w:ind w:firstLine="284" w:left="0"/>
        <w:jc w:val="both"/>
        <w:rPr>
          <w:sz w:val="24"/>
        </w:rPr>
      </w:pPr>
      <w:r>
        <w:rPr>
          <w:sz w:val="24"/>
        </w:rPr>
        <w:t>повышение качества образования.</w:t>
      </w:r>
    </w:p>
    <w:p>
      <w:pPr>
        <w:pStyle w:val="P3"/>
        <w:ind w:firstLine="284" w:left="0"/>
        <w:jc w:val="both"/>
        <w:rPr>
          <w:sz w:val="24"/>
        </w:rPr>
      </w:pPr>
      <w:r>
        <w:rPr>
          <w:sz w:val="24"/>
        </w:rPr>
        <w:t xml:space="preserve">Направления работы по повышению качества образовательных результатов  обучающихся:</w:t>
      </w:r>
    </w:p>
    <w:p>
      <w:pPr>
        <w:pStyle w:val="P3"/>
        <w:numPr>
          <w:ilvl w:val="0"/>
          <w:numId w:val="14"/>
        </w:numPr>
        <w:ind w:firstLine="284" w:left="0"/>
        <w:jc w:val="both"/>
        <w:rPr>
          <w:sz w:val="24"/>
        </w:rPr>
      </w:pPr>
      <w:r>
        <w:rPr>
          <w:sz w:val="24"/>
        </w:rPr>
        <w:t>психолого-педагогическое сопровождение;</w:t>
      </w:r>
    </w:p>
    <w:p>
      <w:pPr>
        <w:pStyle w:val="P3"/>
        <w:numPr>
          <w:ilvl w:val="0"/>
          <w:numId w:val="14"/>
        </w:numPr>
        <w:ind w:firstLine="284" w:left="0"/>
        <w:jc w:val="both"/>
        <w:rPr>
          <w:sz w:val="24"/>
        </w:rPr>
      </w:pPr>
      <w:r>
        <w:rPr>
          <w:sz w:val="24"/>
        </w:rPr>
        <w:t>повышение мотивации обучающихся;</w:t>
      </w:r>
    </w:p>
    <w:p>
      <w:pPr>
        <w:pStyle w:val="P3"/>
        <w:numPr>
          <w:ilvl w:val="0"/>
          <w:numId w:val="14"/>
        </w:numPr>
        <w:ind w:firstLine="284" w:left="0"/>
        <w:jc w:val="both"/>
        <w:rPr>
          <w:sz w:val="24"/>
        </w:rPr>
      </w:pPr>
      <w:r>
        <w:rPr>
          <w:sz w:val="24"/>
        </w:rPr>
        <w:t xml:space="preserve">повышение качества образовательных результатов; </w:t>
      </w:r>
    </w:p>
    <w:p>
      <w:pPr>
        <w:pStyle w:val="P3"/>
        <w:numPr>
          <w:ilvl w:val="0"/>
          <w:numId w:val="14"/>
        </w:numPr>
        <w:ind w:firstLine="284" w:left="0"/>
        <w:jc w:val="both"/>
        <w:rPr>
          <w:sz w:val="24"/>
        </w:rPr>
      </w:pPr>
      <w:r>
        <w:rPr>
          <w:sz w:val="24"/>
        </w:rPr>
        <w:t>создание условий для удовлетворения потребностей личности.</w:t>
      </w:r>
    </w:p>
    <w:p>
      <w:pPr>
        <w:pStyle w:val="P3"/>
        <w:ind w:left="0"/>
        <w:jc w:val="both"/>
        <w:rPr>
          <w:sz w:val="24"/>
        </w:rPr>
      </w:pP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Результаты анализа:</w:t>
      </w:r>
    </w:p>
    <w:p>
      <w:pPr>
        <w:pStyle w:val="P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школы, выбравшие направления работы:</w:t>
      </w:r>
    </w:p>
    <w:p>
      <w:pPr>
        <w:pStyle w:val="P3"/>
        <w:numPr>
          <w:ilvl w:val="0"/>
          <w:numId w:val="12"/>
        </w:numPr>
        <w:ind w:firstLine="426" w:left="0"/>
        <w:jc w:val="both"/>
        <w:rPr>
          <w:sz w:val="24"/>
        </w:rPr>
      </w:pPr>
      <w:r>
        <w:rPr>
          <w:sz w:val="24"/>
        </w:rPr>
        <w:t>с учителями – 18 (100%);</w:t>
      </w:r>
    </w:p>
    <w:p>
      <w:pPr>
        <w:pStyle w:val="P3"/>
        <w:numPr>
          <w:ilvl w:val="0"/>
          <w:numId w:val="12"/>
        </w:numPr>
        <w:ind w:firstLine="426" w:left="0"/>
        <w:jc w:val="both"/>
        <w:rPr>
          <w:sz w:val="24"/>
        </w:rPr>
      </w:pPr>
      <w:r>
        <w:rPr>
          <w:sz w:val="24"/>
        </w:rPr>
        <w:t>с обучающимися – 17 (94%);</w:t>
      </w:r>
    </w:p>
    <w:p>
      <w:pPr>
        <w:pStyle w:val="P3"/>
        <w:numPr>
          <w:ilvl w:val="0"/>
          <w:numId w:val="12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с родителями -  13 (72,22%); </w:t>
      </w:r>
    </w:p>
    <w:p>
      <w:pPr>
        <w:pStyle w:val="P3"/>
        <w:numPr>
          <w:ilvl w:val="0"/>
          <w:numId w:val="16"/>
        </w:numPr>
        <w:ind w:firstLine="426" w:left="0"/>
        <w:jc w:val="both"/>
        <w:rPr>
          <w:sz w:val="24"/>
        </w:rPr>
      </w:pPr>
      <w:r>
        <w:rPr>
          <w:sz w:val="24"/>
        </w:rPr>
        <w:t>Направления работы с учителями:</w:t>
      </w:r>
    </w:p>
    <w:p>
      <w:pPr>
        <w:pStyle w:val="P3"/>
        <w:numPr>
          <w:ilvl w:val="0"/>
          <w:numId w:val="13"/>
        </w:numPr>
        <w:ind w:firstLine="426" w:left="0"/>
        <w:jc w:val="both"/>
        <w:rPr>
          <w:sz w:val="24"/>
        </w:rPr>
      </w:pPr>
      <w:r>
        <w:rPr>
          <w:sz w:val="24"/>
        </w:rPr>
        <w:t>совершенствование предметных и методических компетенций (профессиональное развитие) -8 (44%);</w:t>
      </w:r>
    </w:p>
    <w:p>
      <w:pPr>
        <w:pStyle w:val="P3"/>
        <w:numPr>
          <w:ilvl w:val="0"/>
          <w:numId w:val="13"/>
        </w:numPr>
        <w:ind w:firstLine="426" w:left="0"/>
        <w:jc w:val="both"/>
        <w:rPr>
          <w:sz w:val="24"/>
        </w:rPr>
      </w:pPr>
      <w:r>
        <w:rPr>
          <w:sz w:val="24"/>
        </w:rPr>
        <w:t>совершенствование предметных и методических компетенций по отдельному направлению – 5 27,7% (повышение компетенции по работе с отдельными категориями обучающихся, ИКТ-компетентность);</w:t>
      </w:r>
    </w:p>
    <w:p>
      <w:pPr>
        <w:pStyle w:val="P3"/>
        <w:numPr>
          <w:ilvl w:val="0"/>
          <w:numId w:val="13"/>
        </w:numPr>
        <w:ind w:firstLine="426" w:left="0"/>
        <w:jc w:val="both"/>
        <w:rPr>
          <w:sz w:val="24"/>
        </w:rPr>
      </w:pPr>
      <w:r>
        <w:rPr>
          <w:sz w:val="24"/>
        </w:rPr>
        <w:t>совершенствование предметных и методических компетенций учителей по повышению качества образования – 5 (27,7%).</w:t>
      </w:r>
    </w:p>
    <w:p>
      <w:pPr>
        <w:pStyle w:val="P3"/>
        <w:numPr>
          <w:ilvl w:val="0"/>
          <w:numId w:val="16"/>
        </w:numPr>
        <w:ind w:firstLine="426" w:left="0"/>
        <w:jc w:val="both"/>
        <w:rPr>
          <w:sz w:val="24"/>
        </w:rPr>
      </w:pPr>
      <w:r>
        <w:rPr>
          <w:sz w:val="24"/>
        </w:rPr>
        <w:t>Направления работы с обучающимися:</w:t>
      </w:r>
    </w:p>
    <w:p>
      <w:pPr>
        <w:pStyle w:val="P3"/>
        <w:numPr>
          <w:ilvl w:val="0"/>
          <w:numId w:val="14"/>
        </w:numPr>
        <w:ind w:firstLine="426" w:left="0"/>
        <w:jc w:val="both"/>
        <w:rPr>
          <w:sz w:val="24"/>
        </w:rPr>
      </w:pPr>
      <w:r>
        <w:rPr>
          <w:sz w:val="24"/>
        </w:rPr>
        <w:t>психолого-педагогическое сопровождение обучающихся -1 (6%);</w:t>
      </w:r>
    </w:p>
    <w:p>
      <w:pPr>
        <w:pStyle w:val="P3"/>
        <w:numPr>
          <w:ilvl w:val="0"/>
          <w:numId w:val="14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повышение мотивации учения -  4 (24%);</w:t>
      </w:r>
    </w:p>
    <w:p>
      <w:pPr>
        <w:pStyle w:val="P3"/>
        <w:numPr>
          <w:ilvl w:val="0"/>
          <w:numId w:val="14"/>
        </w:numPr>
        <w:ind w:firstLine="426" w:left="0"/>
        <w:jc w:val="both"/>
        <w:rPr>
          <w:sz w:val="24"/>
        </w:rPr>
      </w:pPr>
      <w:r>
        <w:rPr>
          <w:sz w:val="24"/>
        </w:rPr>
        <w:t>повышение качества образовательных результатов обучающихся по отдельных оценочным процедурам – 7 (41%);</w:t>
      </w:r>
    </w:p>
    <w:p>
      <w:pPr>
        <w:pStyle w:val="P3"/>
        <w:numPr>
          <w:ilvl w:val="0"/>
          <w:numId w:val="14"/>
        </w:numPr>
        <w:ind w:firstLine="426" w:left="0"/>
        <w:jc w:val="both"/>
        <w:rPr>
          <w:sz w:val="24"/>
        </w:rPr>
      </w:pPr>
      <w:r>
        <w:rPr>
          <w:sz w:val="24"/>
        </w:rPr>
        <w:t>создание условий для удовлетворения потребностей личности- 2 (12%).</w:t>
      </w:r>
    </w:p>
    <w:p>
      <w:pPr>
        <w:pStyle w:val="P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Направления  работы с родителями:</w:t>
      </w:r>
    </w:p>
    <w:p>
      <w:pPr>
        <w:pStyle w:val="P3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развитие сотрудничества- 12 (92%);</w:t>
      </w:r>
    </w:p>
    <w:p>
      <w:pPr>
        <w:pStyle w:val="P3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информационная работа – 1 (8%)</w:t>
      </w:r>
    </w:p>
    <w:p>
      <w:pPr>
        <w:pStyle w:val="P3"/>
        <w:ind w:left="1506"/>
        <w:jc w:val="both"/>
        <w:rPr>
          <w:sz w:val="24"/>
        </w:rPr>
      </w:pPr>
    </w:p>
    <w:p>
      <w:pPr>
        <w:spacing w:lineRule="auto" w:line="240" w:after="0" w:beforeAutospacing="0" w:afterAutospacing="0"/>
        <w:ind w:firstLine="426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Выводы:</w:t>
      </w: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основным направлением работы по преодолению неуспешности школы  выбрали совершенствование предметных и методических компетенций учителей, так как по результатам самодиагностики педагогические коллективы в силу большого стажа работы и, как следствие, профессионального выгорания нуждаются в оптимизации компетенций;</w:t>
      </w: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фактором, затрудняющим отслеживание качества работы по совершенствованию компетенций учителей, является отсутствие системы послекурсового сопровождения.</w:t>
      </w: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426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Замечания по мониторингу мероприятий "дорожной карты": </w:t>
      </w:r>
    </w:p>
    <w:p>
      <w:pPr>
        <w:pStyle w:val="P3"/>
        <w:widowControl w:val="1"/>
        <w:numPr>
          <w:ilvl w:val="0"/>
          <w:numId w:val="6"/>
        </w:numPr>
        <w:ind w:firstLine="426" w:left="0"/>
        <w:contextualSpacing w:val="1"/>
        <w:jc w:val="both"/>
        <w:rPr>
          <w:sz w:val="24"/>
        </w:rPr>
      </w:pPr>
      <w:r>
        <w:rPr>
          <w:sz w:val="24"/>
        </w:rPr>
        <w:t>Общие формулировки, не отражающие конкретных планируемых изменений</w:t>
      </w:r>
    </w:p>
    <w:tbl>
      <w:tblPr>
        <w:tblStyle w:val="T2"/>
        <w:tblW w:w="10314" w:type="dxa"/>
        <w:tblLook w:val="04A0"/>
      </w:tblPr>
      <w:tblGrid/>
      <w:t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w="2268" w:type="dxa"/>
            <w:tcBorders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Прогнозируемый результат</w:t>
            </w:r>
          </w:p>
        </w:tc>
        <w:tc>
          <w:tcPr>
            <w:tcW w:w="5670" w:type="dxa"/>
            <w:tcBorders>
              <w:lef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Замечания</w:t>
            </w:r>
          </w:p>
        </w:tc>
      </w:tr>
      <w:t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учителями о качестве</w:t>
            </w:r>
          </w:p>
        </w:tc>
        <w:tc>
          <w:tcPr>
            <w:tcW w:w="2268" w:type="dxa"/>
            <w:tcBorders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образования</w:t>
            </w:r>
          </w:p>
        </w:tc>
        <w:tc>
          <w:tcPr>
            <w:tcW w:w="5670" w:type="dxa"/>
            <w:tcBorders>
              <w:left w:val="single" w:sz="4" w:space="0" w:shadow="0" w:frame="0" w:color="auto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конкретизировать прогнозируемый результат (разработка индивидуального образовательного маршрута и т.д.)</w:t>
            </w:r>
          </w:p>
        </w:tc>
      </w:tr>
      <w:t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семинара</w:t>
            </w:r>
          </w:p>
        </w:tc>
        <w:tc>
          <w:tcPr>
            <w:tcW w:w="2268" w:type="dxa"/>
            <w:tcBorders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преподаваемых предметов</w:t>
            </w:r>
          </w:p>
        </w:tc>
        <w:tc>
          <w:tcPr>
            <w:tcW w:w="5670" w:type="dxa"/>
            <w:tcBorders>
              <w:left w:val="single" w:sz="4" w:space="0" w:shadow="0" w:frame="0" w:color="auto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Пассивное участие в семинаре не даст повышения качества преподаваемых предметов (например, применение в практике обучения технологии или элементов технологии; отчёт о результатах и т.д.) </w:t>
            </w:r>
          </w:p>
        </w:tc>
      </w:tr>
    </w:tbl>
    <w:p>
      <w:pPr>
        <w:pStyle w:val="P3"/>
        <w:numPr>
          <w:ilvl w:val="0"/>
          <w:numId w:val="6"/>
        </w:numPr>
        <w:ind w:left="0"/>
        <w:rPr>
          <w:sz w:val="24"/>
        </w:rPr>
      </w:pPr>
      <w:r>
        <w:rPr>
          <w:sz w:val="24"/>
        </w:rPr>
        <w:t>Прогнозируемый результат не измеряем</w:t>
      </w:r>
    </w:p>
    <w:tbl>
      <w:tblPr>
        <w:tblStyle w:val="T2"/>
        <w:tblW w:w="10314" w:type="dxa"/>
        <w:tblLook w:val="04A0"/>
      </w:tblPr>
      <w:tblGrid/>
      <w:t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Проблема</w:t>
            </w:r>
          </w:p>
        </w:tc>
        <w:tc>
          <w:tcPr>
            <w:tcW w:w="2268" w:type="dxa"/>
            <w:tcBorders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Прогнозируемый результат</w:t>
            </w:r>
          </w:p>
        </w:tc>
        <w:tc>
          <w:tcPr>
            <w:tcW w:w="5670" w:type="dxa"/>
            <w:tcBorders>
              <w:lef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Замечания</w:t>
            </w:r>
          </w:p>
        </w:tc>
      </w:tr>
      <w:t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прочное освоение материала, пройденного за год</w:t>
            </w:r>
          </w:p>
        </w:tc>
        <w:tc>
          <w:tcPr>
            <w:tcW w:w="2268" w:type="dxa"/>
            <w:tcBorders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в памяти учащихся тем, пройденных за год</w:t>
            </w:r>
          </w:p>
        </w:tc>
        <w:tc>
          <w:tcPr>
            <w:tcW w:w="5670" w:type="dxa"/>
            <w:tcBorders>
              <w:left w:val="single" w:sz="4" w:space="0" w:shadow="0" w:frame="0" w:color="auto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в памяти учащихся тем не свидетельствует о качестве. Качество определяется, например,  умением решать учебно-практические и учебно-познавательные задачи</w:t>
            </w:r>
          </w:p>
        </w:tc>
      </w:tr>
    </w:tbl>
    <w:p>
      <w:pPr>
        <w:pStyle w:val="P3"/>
        <w:widowControl w:val="1"/>
        <w:numPr>
          <w:ilvl w:val="0"/>
          <w:numId w:val="6"/>
        </w:numPr>
        <w:ind w:firstLine="426" w:left="0"/>
        <w:contextualSpacing w:val="1"/>
        <w:jc w:val="both"/>
        <w:rPr>
          <w:sz w:val="24"/>
        </w:rPr>
      </w:pPr>
      <w:r>
        <w:rPr>
          <w:sz w:val="24"/>
        </w:rPr>
        <w:t xml:space="preserve">Общие формулировки разделов. Например,  «Работа с учителями», «Работа с учащимися». Необходимо указать конкретное направление работы (психологическая поддержка обучающихся с трудностями в обучении, повышение мотивации обучающихся, повышение предметной компетентности учителей и т.д.). </w:t>
      </w: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Управленческие решения: </w:t>
      </w:r>
    </w:p>
    <w:p>
      <w:pPr>
        <w:pStyle w:val="P3"/>
        <w:numPr>
          <w:ilvl w:val="0"/>
          <w:numId w:val="15"/>
        </w:numPr>
        <w:ind w:left="0"/>
        <w:contextualSpacing w:val="1"/>
        <w:jc w:val="both"/>
        <w:rPr>
          <w:sz w:val="24"/>
        </w:rPr>
      </w:pPr>
      <w:r>
        <w:rPr>
          <w:sz w:val="24"/>
        </w:rPr>
        <w:t>образовательным организациям провести корректировку «дорожных карт» в соответствии с замечаниями до 15 декабря 2020 года;</w:t>
      </w:r>
    </w:p>
    <w:p>
      <w:pPr>
        <w:pStyle w:val="P3"/>
        <w:numPr>
          <w:ilvl w:val="0"/>
          <w:numId w:val="15"/>
        </w:numPr>
        <w:ind w:left="0"/>
        <w:contextualSpacing w:val="1"/>
        <w:jc w:val="both"/>
        <w:rPr>
          <w:sz w:val="24"/>
        </w:rPr>
      </w:pPr>
      <w:r>
        <w:rPr>
          <w:sz w:val="24"/>
        </w:rPr>
        <w:t>создать систему послекурсов</w:t>
      </w:r>
      <w:r>
        <w:rPr>
          <w:sz w:val="24"/>
        </w:rPr>
        <w:t>о</w:t>
      </w:r>
      <w:r>
        <w:rPr>
          <w:sz w:val="24"/>
        </w:rPr>
        <w:t>го сопровождения учителей (ответственный ГАУ ДПО "БИПКРО", сентябрь 2021 года);</w:t>
      </w:r>
    </w:p>
    <w:p>
      <w:pPr>
        <w:pStyle w:val="P3"/>
        <w:numPr>
          <w:ilvl w:val="0"/>
          <w:numId w:val="15"/>
        </w:numPr>
        <w:ind w:left="0"/>
        <w:contextualSpacing w:val="1"/>
        <w:jc w:val="both"/>
        <w:rPr>
          <w:sz w:val="24"/>
        </w:rPr>
      </w:pPr>
      <w:r>
        <w:rPr>
          <w:sz w:val="24"/>
        </w:rPr>
        <w:t>региональному координатору организовать индивидуальную помощь образовательным организациям по данному вопросу в течение декабря 2021 года.</w:t>
      </w: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3"/>
        <w:widowControl w:val="1"/>
        <w:ind w:left="0"/>
        <w:contextualSpacing w:val="1"/>
        <w:jc w:val="right"/>
        <w:rPr>
          <w:sz w:val="24"/>
        </w:rPr>
      </w:pPr>
      <w:r>
        <w:rPr>
          <w:sz w:val="24"/>
        </w:rPr>
        <w:t xml:space="preserve">О.Г.Викульева, заведующий центром мониторинга и </w:t>
      </w:r>
    </w:p>
    <w:p>
      <w:pPr>
        <w:pStyle w:val="P3"/>
        <w:widowControl w:val="1"/>
        <w:ind w:left="0"/>
        <w:contextualSpacing w:val="1"/>
        <w:jc w:val="right"/>
        <w:rPr>
          <w:sz w:val="24"/>
        </w:rPr>
      </w:pPr>
      <w:r>
        <w:rPr>
          <w:sz w:val="24"/>
        </w:rPr>
        <w:t>инновационной деятельности</w:t>
      </w:r>
    </w:p>
    <w:sectPr>
      <w:footerReference xmlns:r="http://schemas.openxmlformats.org/officeDocument/2006/relationships" w:type="default" r:id="RelFtr1"/>
      <w:type w:val="nextPage"/>
      <w:pgSz w:w="11906" w:h="16838" w:code="9"/>
      <w:pgMar w:left="720" w:right="720" w:top="720" w:bottom="720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00006DF1"/>
    <w:multiLevelType w:val="hybridMultilevel"/>
    <w:lvl w:ilvl="0" w:tplc="A2D07A26">
      <w:start w:val="1"/>
      <w:numFmt w:val="decimal"/>
      <w:suff w:val="tab"/>
      <w:lvlText w:val="%1."/>
      <w:lvlJc w:val="left"/>
      <w:pPr/>
      <w:rPr/>
    </w:lvl>
    <w:lvl w:ilvl="1" w:tplc="633ED190">
      <w:start w:val="1"/>
      <w:numFmt w:val="decimal"/>
      <w:suff w:val="tab"/>
      <w:lvlText w:val=""/>
      <w:lvlJc w:val="left"/>
      <w:pPr/>
      <w:rPr/>
    </w:lvl>
    <w:lvl w:ilvl="2" w:tplc="02188AB8">
      <w:start w:val="1"/>
      <w:numFmt w:val="decimal"/>
      <w:suff w:val="tab"/>
      <w:lvlText w:val=""/>
      <w:lvlJc w:val="left"/>
      <w:pPr/>
      <w:rPr/>
    </w:lvl>
    <w:lvl w:ilvl="3" w:tplc="439E704C">
      <w:start w:val="1"/>
      <w:numFmt w:val="decimal"/>
      <w:suff w:val="tab"/>
      <w:lvlText w:val=""/>
      <w:lvlJc w:val="left"/>
      <w:pPr/>
      <w:rPr/>
    </w:lvl>
    <w:lvl w:ilvl="4" w:tplc="7208031C">
      <w:start w:val="1"/>
      <w:numFmt w:val="decimal"/>
      <w:suff w:val="tab"/>
      <w:lvlText w:val=""/>
      <w:lvlJc w:val="left"/>
      <w:pPr/>
      <w:rPr/>
    </w:lvl>
    <w:lvl w:ilvl="5" w:tplc="C5C46F18">
      <w:start w:val="1"/>
      <w:numFmt w:val="decimal"/>
      <w:suff w:val="tab"/>
      <w:lvlText w:val=""/>
      <w:lvlJc w:val="left"/>
      <w:pPr/>
      <w:rPr/>
    </w:lvl>
    <w:lvl w:ilvl="6" w:tplc="870E9FC2">
      <w:start w:val="1"/>
      <w:numFmt w:val="decimal"/>
      <w:suff w:val="tab"/>
      <w:lvlText w:val=""/>
      <w:lvlJc w:val="left"/>
      <w:pPr/>
      <w:rPr/>
    </w:lvl>
    <w:lvl w:ilvl="7" w:tplc="6996363C">
      <w:start w:val="1"/>
      <w:numFmt w:val="decimal"/>
      <w:suff w:val="tab"/>
      <w:lvlText w:val=""/>
      <w:lvlJc w:val="left"/>
      <w:pPr/>
      <w:rPr/>
    </w:lvl>
    <w:lvl w:ilvl="8" w:tplc="17E06D64">
      <w:start w:val="1"/>
      <w:numFmt w:val="decimal"/>
      <w:suff w:val="tab"/>
      <w:lvlText w:val=""/>
      <w:lvlJc w:val="left"/>
      <w:pPr/>
      <w:rPr/>
    </w:lvl>
  </w:abstractNum>
  <w:abstractNum w:abstractNumId="1">
    <w:nsid w:val="024B26F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D86040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B2B6574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1AD303B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37D39F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14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86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8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30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02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74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6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8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906"/>
      </w:pPr>
      <w:rPr>
        <w:rFonts w:ascii="Wingdings" w:hAnsi="Wingdings"/>
      </w:rPr>
    </w:lvl>
  </w:abstractNum>
  <w:abstractNum w:abstractNumId="6">
    <w:nsid w:val="25415EC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29294E6B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57F150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3D912CE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14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86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8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30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02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74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6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8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906"/>
      </w:pPr>
      <w:rPr>
        <w:rFonts w:ascii="Wingdings" w:hAnsi="Wingdings"/>
      </w:rPr>
    </w:lvl>
  </w:abstractNum>
  <w:abstractNum w:abstractNumId="10">
    <w:nsid w:val="3EF756E5"/>
    <w:multiLevelType w:val="hybridMultilevel"/>
    <w:lvl w:ilvl="0" w:tplc="B8564FFA">
      <w:start w:val="3"/>
      <w:numFmt w:val="decimal"/>
      <w:suff w:val="tab"/>
      <w:lvlText w:val="%1.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445A645E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50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22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94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6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8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10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2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54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66"/>
      </w:pPr>
      <w:rPr>
        <w:rFonts w:ascii="Wingdings" w:hAnsi="Wingdings"/>
      </w:rPr>
    </w:lvl>
  </w:abstractNum>
  <w:abstractNum w:abstractNumId="12">
    <w:nsid w:val="584A45E5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70CC008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722D7065"/>
    <w:multiLevelType w:val="multilevel"/>
    <w:lvl w:ilvl="0">
      <w:start w:val="1"/>
      <w:numFmt w:val="decimal"/>
      <w:suff w:val="tab"/>
      <w:lvlText w:val="%1."/>
      <w:lvlJc w:val="left"/>
      <w:pPr>
        <w:ind w:hanging="360" w:left="644"/>
      </w:pPr>
      <w:rPr/>
    </w:lvl>
    <w:lvl w:ilvl="1">
      <w:start w:val="3"/>
      <w:numFmt w:val="decimal"/>
      <w:isLgl w:val="1"/>
      <w:suff w:val="tab"/>
      <w:lvlText w:val="%1.%2."/>
      <w:lvlJc w:val="left"/>
      <w:pPr>
        <w:ind w:hanging="720" w:left="862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7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14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1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5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186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186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220"/>
      </w:pPr>
      <w:rPr/>
    </w:lvl>
  </w:abstractNum>
  <w:abstractNum w:abstractNumId="15">
    <w:nsid w:val="75213B9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767544FA"/>
    <w:multiLevelType w:val="hybridMultilevel"/>
    <w:lvl w:ilvl="0" w:tplc="9A16AFDE">
      <w:start w:val="1"/>
      <w:numFmt w:val="decimal"/>
      <w:suff w:val="tab"/>
      <w:lvlText w:val="%1)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7">
    <w:nsid w:val="7688156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8">
    <w:nsid w:val="7D295E8F"/>
    <w:multiLevelType w:val="hybridMultilevel"/>
    <w:lvl w:ilvl="0" w:tplc="78F83896">
      <w:start w:val="1"/>
      <w:numFmt w:val="decimal"/>
      <w:suff w:val="tab"/>
      <w:lvlText w:val="%1)"/>
      <w:lvlJc w:val="left"/>
      <w:pPr>
        <w:ind w:hanging="360" w:left="78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0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2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4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6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8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0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2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46"/>
      </w:pPr>
      <w:rPr/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16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5"/>
  </w:num>
  <w:num w:numId="12">
    <w:abstractNumId w:val="13"/>
  </w:num>
  <w:num w:numId="13">
    <w:abstractNumId w:val="2"/>
  </w:num>
  <w:num w:numId="14">
    <w:abstractNumId w:val="17"/>
  </w:num>
  <w:num w:numId="15">
    <w:abstractNumId w:val="3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link w:val="C5"/>
    <w:qFormat/>
    <w:pPr>
      <w:widowControl w:val="0"/>
      <w:spacing w:lineRule="auto" w:line="240" w:after="0" w:beforeAutospacing="0" w:afterAutospacing="0"/>
      <w:ind w:left="373"/>
    </w:pPr>
    <w:rPr>
      <w:rFonts w:ascii="Times New Roman" w:hAnsi="Times New Roman"/>
    </w:rPr>
  </w:style>
  <w:style w:type="paragraph" w:styleId="P4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5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semiHidden/>
    <w:rPr/>
  </w:style>
  <w:style w:type="character" w:styleId="C4">
    <w:name w:val="Нижний колонтитул Знак"/>
    <w:basedOn w:val="C0"/>
    <w:link w:val="P2"/>
    <w:rPr/>
  </w:style>
  <w:style w:type="character" w:styleId="C5">
    <w:name w:val="Абзац списка Знак"/>
    <w:basedOn w:val="C0"/>
    <w:link w:val="P3"/>
    <w:rPr>
      <w:rFonts w:ascii="Times New Roman" w:hAnsi="Times New Roman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