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D78A5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Методиче</w:t>
      </w:r>
      <w:r>
        <w:rPr>
          <w:rFonts w:ascii="Times New Roman" w:hAnsi="Times New Roman"/>
          <w:b w:val="1"/>
          <w:sz w:val="28"/>
        </w:rPr>
        <w:t>ск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z w:val="28"/>
        </w:rPr>
        <w:t>е ре</w:t>
      </w:r>
      <w:r>
        <w:rPr>
          <w:rFonts w:ascii="Times New Roman" w:hAnsi="Times New Roman"/>
          <w:b w:val="1"/>
          <w:sz w:val="28"/>
        </w:rPr>
        <w:t>комендации для образоват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z w:val="28"/>
        </w:rPr>
        <w:t>л</w:t>
      </w:r>
      <w:r>
        <w:rPr>
          <w:rFonts w:ascii="Times New Roman" w:hAnsi="Times New Roman"/>
          <w:b w:val="1"/>
          <w:sz w:val="28"/>
        </w:rPr>
        <w:t>ьных организаций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по </w:t>
      </w:r>
      <w:r>
        <w:rPr>
          <w:rFonts w:ascii="Times New Roman" w:hAnsi="Times New Roman"/>
          <w:b w:val="1"/>
          <w:sz w:val="28"/>
        </w:rPr>
        <w:t xml:space="preserve">разработке </w:t>
      </w:r>
      <w:r>
        <w:rPr>
          <w:rFonts w:ascii="Times New Roman" w:hAnsi="Times New Roman"/>
          <w:b w:val="1"/>
          <w:sz w:val="28"/>
        </w:rPr>
        <w:t>"</w:t>
      </w:r>
      <w:r>
        <w:rPr>
          <w:rFonts w:ascii="Times New Roman" w:hAnsi="Times New Roman"/>
          <w:b w:val="1"/>
          <w:sz w:val="28"/>
        </w:rPr>
        <w:t>дорожных карт</w:t>
      </w:r>
      <w:r>
        <w:rPr>
          <w:rFonts w:ascii="Times New Roman" w:hAnsi="Times New Roman"/>
          <w:b w:val="1"/>
          <w:sz w:val="28"/>
        </w:rPr>
        <w:t>"</w:t>
      </w:r>
      <w:r>
        <w:rPr>
          <w:rFonts w:ascii="Times New Roman" w:hAnsi="Times New Roman"/>
          <w:b w:val="1"/>
          <w:sz w:val="28"/>
        </w:rPr>
        <w:t xml:space="preserve">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</w:t>
      </w:r>
      <w:r>
        <w:rPr>
          <w:rFonts w:ascii="Times New Roman" w:hAnsi="Times New Roman"/>
          <w:b w:val="1"/>
          <w:sz w:val="28"/>
        </w:rPr>
        <w:t>од</w:t>
      </w:r>
      <w:r>
        <w:rPr>
          <w:rFonts w:ascii="Times New Roman" w:hAnsi="Times New Roman"/>
          <w:b w:val="1"/>
          <w:sz w:val="28"/>
        </w:rPr>
        <w:t>о</w:t>
      </w:r>
      <w:r>
        <w:rPr>
          <w:rFonts w:ascii="Times New Roman" w:hAnsi="Times New Roman"/>
          <w:b w:val="1"/>
          <w:sz w:val="28"/>
        </w:rPr>
        <w:t>ления н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z w:val="28"/>
        </w:rPr>
        <w:t>зки</w:t>
      </w:r>
      <w:r>
        <w:rPr>
          <w:rFonts w:ascii="Times New Roman" w:hAnsi="Times New Roman"/>
          <w:b w:val="1"/>
          <w:sz w:val="28"/>
        </w:rPr>
        <w:t xml:space="preserve">х </w:t>
      </w:r>
      <w:r>
        <w:rPr>
          <w:rFonts w:ascii="Times New Roman" w:hAnsi="Times New Roman"/>
          <w:b w:val="1"/>
          <w:sz w:val="28"/>
        </w:rPr>
        <w:t>образовательных</w:t>
      </w:r>
      <w:r>
        <w:rPr>
          <w:rFonts w:ascii="Times New Roman" w:hAnsi="Times New Roman"/>
          <w:b w:val="1"/>
          <w:sz w:val="28"/>
        </w:rPr>
        <w:t xml:space="preserve"> результатов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Этапы </w:t>
      </w:r>
      <w:r>
        <w:rPr>
          <w:rFonts w:ascii="Times New Roman" w:hAnsi="Times New Roman"/>
          <w:b w:val="1"/>
          <w:sz w:val="28"/>
        </w:rPr>
        <w:t>работы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и содержание работы по разработке "дорожных ка</w:t>
      </w:r>
      <w:r>
        <w:rPr>
          <w:rFonts w:ascii="Times New Roman" w:hAnsi="Times New Roman"/>
          <w:b w:val="1"/>
          <w:sz w:val="28"/>
        </w:rPr>
        <w:t>рт":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1) </w:t>
      </w:r>
      <w:r>
        <w:rPr>
          <w:rFonts w:ascii="Times New Roman" w:hAnsi="Times New Roman"/>
          <w:b w:val="0"/>
          <w:sz w:val="28"/>
        </w:rPr>
        <w:t>постановка цели и определение задач</w:t>
      </w:r>
      <w:r>
        <w:rPr>
          <w:rFonts w:ascii="Times New Roman" w:hAnsi="Times New Roman"/>
          <w:b w:val="0"/>
          <w:sz w:val="28"/>
        </w:rPr>
        <w:t>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bookmarkStart w:id="0" w:name="_dx_frag_StartFragment"/>
      <w:bookmarkEnd w:id="0"/>
      <w:r>
        <w:rPr>
          <w:rFonts w:ascii="Times New Roman" w:hAnsi="Times New Roman"/>
          <w:i w:val="1"/>
          <w:sz w:val="28"/>
          <w:u w:val="none"/>
        </w:rPr>
        <w:t>Цель</w:t>
      </w:r>
      <w:r>
        <w:rPr>
          <w:rFonts w:ascii="Times New Roman" w:hAnsi="Times New Roman"/>
          <w:sz w:val="28"/>
        </w:rPr>
        <w:t xml:space="preserve"> – понятие, которое должно сформировать осознанный образ предвосхищаемого результата и поставить перед администрацией образовательной организации конечную </w:t>
      </w:r>
      <w:r>
        <w:rPr>
          <w:rFonts w:ascii="Times New Roman" w:hAnsi="Times New Roman"/>
          <w:sz w:val="28"/>
        </w:rPr>
        <w:t>точку</w:t>
      </w:r>
      <w:r>
        <w:rPr>
          <w:rFonts w:ascii="Times New Roman" w:hAnsi="Times New Roman"/>
          <w:sz w:val="28"/>
        </w:rPr>
        <w:t xml:space="preserve"> в рамках реализации дорожной карты.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>ель должна быть конкретная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онятная всем участникам процесса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измеримая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наличие имеющихся или потенциально существующих способов или средств ее измерения (диагностические мониторинги, опросы и аналитика и т.п.)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достижимая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иметь четкие сроки реализации.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Определение з</w:t>
      </w:r>
      <w:r>
        <w:rPr>
          <w:rFonts w:ascii="Times New Roman" w:hAnsi="Times New Roman"/>
          <w:sz w:val="28"/>
        </w:rPr>
        <w:t xml:space="preserve">адач в рамках поставленной цели </w:t>
      </w:r>
      <w:r>
        <w:rPr>
          <w:rFonts w:ascii="Times New Roman" w:hAnsi="Times New Roman"/>
          <w:sz w:val="28"/>
        </w:rPr>
        <w:t>следует описывать согласно хронологической последовательности и возможности их реализации в установленные сроки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2) </w:t>
      </w:r>
      <w:r>
        <w:rPr>
          <w:rFonts w:ascii="Times New Roman" w:hAnsi="Times New Roman"/>
          <w:b w:val="0"/>
          <w:i w:val="1"/>
          <w:sz w:val="28"/>
          <w:u w:val="none"/>
        </w:rPr>
        <w:t>самодиагностика</w:t>
      </w:r>
      <w:r>
        <w:rPr>
          <w:rFonts w:ascii="Times New Roman" w:hAnsi="Times New Roman"/>
          <w:b w:val="0"/>
          <w:sz w:val="28"/>
        </w:rPr>
        <w:t xml:space="preserve"> включает </w:t>
      </w:r>
      <w:bookmarkStart w:id="1" w:name="_dx_frag_StartFragment"/>
      <w:bookmarkEnd w:id="1"/>
      <w:r>
        <w:rPr>
          <w:rFonts w:ascii="Times New Roman" w:hAnsi="Times New Roman"/>
          <w:sz w:val="28"/>
        </w:rPr>
        <w:t xml:space="preserve"> анализ</w:t>
      </w:r>
      <w:r>
        <w:rPr>
          <w:rFonts w:ascii="Times New Roman" w:hAnsi="Times New Roman"/>
          <w:sz w:val="28"/>
        </w:rPr>
        <w:t xml:space="preserve"> школьной системы образования: кадровый состав, образовательные результаты, контингент, материально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техническое оснащение и пр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bookmarkStart w:id="2" w:name="_dx_frag_StartFragment"/>
      <w:bookmarkEnd w:id="2"/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спешные школы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обладают развитой внутришкольной системой самооценки и диагностики. </w:t>
      </w:r>
      <w:r>
        <w:rPr>
          <w:rFonts w:ascii="Times New Roman" w:hAnsi="Times New Roman"/>
          <w:sz w:val="28"/>
        </w:rPr>
        <w:t>Самодиагностика предполагает всестороннее изучение внутренней среды школы. Во время диагностики школы изучают результаты внешних мониторингов и оценочных процедур, результаты муниципальных, региональных диагностик и школьных контрольных работ</w:t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>лизируют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z w:val="28"/>
        </w:rPr>
        <w:t xml:space="preserve"> показатели работы системы дополнительного образования, вовлеченность во внеклассные мероприятия, внеурочную деятельность, систему работы с талантами, частотность и результативность участия в конкурсах и олимпиадах.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2) </w:t>
      </w:r>
      <w:r>
        <w:rPr>
          <w:rFonts w:ascii="Times New Roman" w:hAnsi="Times New Roman"/>
          <w:b w:val="0"/>
          <w:i w:val="1"/>
          <w:sz w:val="28"/>
        </w:rPr>
        <w:t>определение рискового профиля</w:t>
      </w:r>
      <w:r>
        <w:rPr>
          <w:rFonts w:ascii="Times New Roman" w:hAnsi="Times New Roman"/>
          <w:b w:val="0"/>
          <w:i w:val="1"/>
          <w:sz w:val="28"/>
        </w:rPr>
        <w:t>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bookmarkStart w:id="3" w:name="_dx_frag_StartFragment"/>
      <w:bookmarkEnd w:id="3"/>
      <w:r>
        <w:rPr>
          <w:rFonts w:ascii="Times New Roman" w:hAnsi="Times New Roman"/>
          <w:sz w:val="28"/>
        </w:rPr>
        <w:t>Определяя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"опасные" зоны, </w:t>
      </w:r>
      <w:r>
        <w:rPr>
          <w:rFonts w:ascii="Times New Roman" w:hAnsi="Times New Roman"/>
          <w:sz w:val="28"/>
        </w:rPr>
        <w:t>образовательные</w:t>
      </w:r>
      <w:r>
        <w:rPr>
          <w:rFonts w:ascii="Times New Roman" w:hAnsi="Times New Roman"/>
          <w:sz w:val="28"/>
        </w:rPr>
        <w:t xml:space="preserve"> организации дол</w:t>
      </w:r>
      <w:r>
        <w:rPr>
          <w:rFonts w:ascii="Times New Roman" w:hAnsi="Times New Roman"/>
          <w:sz w:val="28"/>
        </w:rPr>
        <w:t>жны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найти ответ </w:t>
      </w:r>
      <w:r>
        <w:rPr>
          <w:rFonts w:ascii="Times New Roman" w:hAnsi="Times New Roman"/>
          <w:sz w:val="28"/>
        </w:rPr>
        <w:t xml:space="preserve">на вопрос «что мешает нашему развитию» и </w:t>
      </w:r>
      <w:r>
        <w:rPr>
          <w:rFonts w:ascii="Times New Roman" w:hAnsi="Times New Roman"/>
          <w:sz w:val="28"/>
        </w:rPr>
        <w:t>определить</w:t>
      </w:r>
      <w:r>
        <w:rPr>
          <w:rFonts w:ascii="Times New Roman" w:hAnsi="Times New Roman"/>
          <w:sz w:val="28"/>
        </w:rPr>
        <w:t xml:space="preserve"> факторы риска низких результатов, характерные именно для их школы.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hanging="0"/>
        <w:jc w:val="both"/>
        <w:rPr>
          <w:rFonts w:ascii="Times New Roman" w:hAnsi="Times New Roman"/>
          <w:b w:val="0"/>
          <w:i w:val="1"/>
          <w:sz w:val="28"/>
        </w:rPr>
      </w:pPr>
      <w:r>
        <w:rPr>
          <w:rFonts w:ascii="Times New Roman" w:hAnsi="Times New Roman"/>
          <w:b w:val="0"/>
          <w:sz w:val="28"/>
        </w:rPr>
        <w:t xml:space="preserve">3) </w:t>
      </w:r>
      <w:r>
        <w:rPr>
          <w:rFonts w:ascii="Times New Roman" w:hAnsi="Times New Roman"/>
          <w:b w:val="0"/>
          <w:i w:val="1"/>
          <w:sz w:val="28"/>
        </w:rPr>
        <w:t>п</w:t>
      </w:r>
      <w:r>
        <w:rPr>
          <w:rFonts w:ascii="Times New Roman" w:hAnsi="Times New Roman"/>
          <w:b w:val="0"/>
          <w:i w:val="1"/>
          <w:sz w:val="28"/>
        </w:rPr>
        <w:t xml:space="preserve">ланирование мероприятий </w:t>
      </w:r>
      <w:r>
        <w:rPr>
          <w:rFonts w:ascii="Times New Roman" w:hAnsi="Times New Roman"/>
          <w:b w:val="0"/>
          <w:i w:val="1"/>
          <w:sz w:val="28"/>
        </w:rPr>
        <w:t>п</w:t>
      </w:r>
      <w:r>
        <w:rPr>
          <w:rFonts w:ascii="Times New Roman" w:hAnsi="Times New Roman"/>
          <w:b w:val="0"/>
          <w:i w:val="1"/>
          <w:sz w:val="28"/>
        </w:rPr>
        <w:t>о преодолению неуспешности</w:t>
      </w:r>
      <w:r>
        <w:rPr>
          <w:rFonts w:ascii="Times New Roman" w:hAnsi="Times New Roman"/>
          <w:b w:val="0"/>
          <w:i w:val="1"/>
          <w:sz w:val="28"/>
        </w:rPr>
        <w:t>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b w:val="0"/>
          <w:sz w:val="28"/>
        </w:rPr>
      </w:pPr>
      <w:bookmarkStart w:id="4" w:name="_dx_frag_StartFragment"/>
      <w:bookmarkEnd w:id="4"/>
      <w:r>
        <w:rPr>
          <w:rFonts w:ascii="Times New Roman" w:hAnsi="Times New Roman"/>
          <w:color w:val="auto"/>
          <w:sz w:val="28"/>
        </w:rPr>
        <w:t>Данный раздел</w:t>
      </w:r>
      <w:r>
        <w:rPr>
          <w:rFonts w:ascii="Times New Roman" w:hAnsi="Times New Roman"/>
          <w:sz w:val="28"/>
        </w:rPr>
        <w:t xml:space="preserve"> должен четко отвечать на вопрос «как (благодаря чему/за счет каких действий) произойдут планируемые изменения или действия». </w:t>
      </w:r>
      <w:bookmarkStart w:id="5" w:name="_dx_frag_StartFragment"/>
      <w:bookmarkEnd w:id="5"/>
      <w:r>
        <w:rPr>
          <w:rFonts w:ascii="Times New Roman" w:hAnsi="Times New Roman"/>
          <w:sz w:val="28"/>
        </w:rPr>
        <w:t xml:space="preserve">В данном разделе следует перечислить основные мероприятия, которые планируется проводить для достижения поставленной цели.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i w:val="1"/>
          <w:sz w:val="28"/>
        </w:rPr>
      </w:pPr>
      <w:r>
        <w:rPr>
          <w:rFonts w:ascii="Times New Roman" w:hAnsi="Times New Roman"/>
          <w:b w:val="0"/>
          <w:sz w:val="28"/>
        </w:rPr>
        <w:t xml:space="preserve">4) </w:t>
      </w:r>
      <w:r>
        <w:rPr>
          <w:rFonts w:ascii="Times New Roman" w:hAnsi="Times New Roman"/>
          <w:b w:val="0"/>
          <w:i w:val="1"/>
          <w:sz w:val="28"/>
        </w:rPr>
        <w:t>определение критериев, показателей и методо</w:t>
      </w:r>
      <w:r>
        <w:rPr>
          <w:rFonts w:ascii="Times New Roman" w:hAnsi="Times New Roman"/>
          <w:b w:val="0"/>
          <w:i w:val="1"/>
          <w:sz w:val="28"/>
        </w:rPr>
        <w:t>в сбора информации</w:t>
      </w:r>
      <w:r>
        <w:rPr>
          <w:rFonts w:ascii="Times New Roman" w:hAnsi="Times New Roman"/>
          <w:b w:val="0"/>
          <w:i w:val="1"/>
          <w:sz w:val="28"/>
        </w:rPr>
        <w:t>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bookmarkStart w:id="6" w:name="_dx_frag_StartFragment"/>
      <w:bookmarkEnd w:id="6"/>
      <w:r>
        <w:rPr>
          <w:rFonts w:ascii="Times New Roman" w:hAnsi="Times New Roman"/>
          <w:sz w:val="28"/>
        </w:rPr>
        <w:t xml:space="preserve">Наличие данного пункта обязательно, поскольку именно оценка действий администрации образовательной организации является индикатором правильности поставленных целей, а также задач, составленных для ее достижения. </w:t>
      </w:r>
      <w:r>
        <w:drawing>
          <wp:inline xmlns:wp="http://schemas.openxmlformats.org/drawingml/2006/wordprocessingDrawing">
            <wp:extent cx="6114415" cy="375475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754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090285" cy="39973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997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Показатели для оценки прогресса образовательная организация выбирает самостоятельно в рамках своей программы по выходу из кризисной ситуации. </w:t>
      </w:r>
      <w:bookmarkStart w:id="7" w:name="_dx_frag_StartFragment"/>
      <w:bookmarkEnd w:id="7"/>
      <w:r>
        <w:rPr>
          <w:rFonts w:ascii="Times New Roman" w:hAnsi="Times New Roman"/>
          <w:sz w:val="28"/>
        </w:rPr>
        <w:t xml:space="preserve">Показатель должен демонстрировать, каким образом школа достигнет положительного решения поставленной цели и выполнения задач.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127115" cy="30670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30670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Показатели могут быть как качественными, так и количественными, они обязательно должны соответствовать цели и не иметь негативных последствий для участников образовательного процесса. </w:t>
      </w:r>
    </w:p>
    <w:p>
      <w:pPr>
        <w:spacing w:lineRule="auto" w:line="360" w:after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849745" cy="371856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37185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858000" cy="288036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03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  <w:r>
        <w:drawing>
          <wp:inline xmlns:wp="http://schemas.openxmlformats.org/drawingml/2006/wordprocessingDrawing">
            <wp:extent cx="6087110" cy="467741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46774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i w:val="1"/>
          <w:sz w:val="28"/>
        </w:rPr>
      </w:pPr>
      <w:r>
        <w:rPr>
          <w:rFonts w:ascii="Times New Roman" w:hAnsi="Times New Roman"/>
          <w:b w:val="0"/>
          <w:sz w:val="28"/>
        </w:rPr>
        <w:t xml:space="preserve">5) </w:t>
      </w:r>
      <w:r>
        <w:rPr>
          <w:rFonts w:ascii="Times New Roman" w:hAnsi="Times New Roman"/>
          <w:b w:val="0"/>
          <w:i w:val="1"/>
          <w:sz w:val="28"/>
        </w:rPr>
        <w:t>определение сроков и назначение отвественных</w:t>
      </w:r>
      <w:r>
        <w:rPr>
          <w:rFonts w:ascii="Times New Roman" w:hAnsi="Times New Roman"/>
          <w:b w:val="0"/>
          <w:i w:val="1"/>
          <w:sz w:val="28"/>
        </w:rPr>
        <w:t>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bookmarkStart w:id="8" w:name="_dx_frag_StartFragment"/>
      <w:bookmarkEnd w:id="8"/>
      <w:r>
        <w:rPr>
          <w:rFonts w:ascii="Times New Roman" w:hAnsi="Times New Roman"/>
          <w:sz w:val="28"/>
        </w:rPr>
        <w:t xml:space="preserve">Ответственным за реализацию </w:t>
      </w:r>
      <w:r>
        <w:rPr>
          <w:rFonts w:ascii="Times New Roman" w:hAnsi="Times New Roman"/>
          <w:sz w:val="28"/>
        </w:rPr>
        <w:t>"дорожной кар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ы"</w:t>
      </w:r>
      <w:r>
        <w:rPr>
          <w:rFonts w:ascii="Times New Roman" w:hAnsi="Times New Roman"/>
          <w:sz w:val="28"/>
        </w:rPr>
        <w:t xml:space="preserve"> является директор. Однако по </w:t>
      </w:r>
      <w:r>
        <w:rPr>
          <w:rFonts w:ascii="Times New Roman" w:hAnsi="Times New Roman"/>
          <w:sz w:val="28"/>
        </w:rPr>
        <w:t>каждому мероприятию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необходимо определить ответственных лиц</w:t>
      </w:r>
      <w:r>
        <w:rPr>
          <w:rFonts w:ascii="Times New Roman" w:hAnsi="Times New Roman"/>
          <w:sz w:val="28"/>
        </w:rPr>
        <w:t>, которы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долж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быть информирован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о действиях по изменениям в организации. Данный раздел должен четко отвечать на вопрос «кто будет проводить указанные изменения». </w:t>
      </w:r>
      <w:bookmarkStart w:id="9" w:name="_dx_frag_StartFragment"/>
      <w:bookmarkEnd w:id="9"/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i w:val="1"/>
          <w:sz w:val="28"/>
        </w:rPr>
        <w:t>ожидаемые результаты</w:t>
      </w:r>
      <w:r>
        <w:rPr>
          <w:rFonts w:ascii="Times New Roman" w:hAnsi="Times New Roman"/>
          <w:i w:val="1"/>
          <w:sz w:val="28"/>
        </w:rPr>
        <w:t>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b w:val="0"/>
          <w:sz w:val="28"/>
        </w:rPr>
      </w:pPr>
      <w:bookmarkStart w:id="10" w:name="_dx_frag_StartFragment"/>
      <w:bookmarkEnd w:id="10"/>
      <w:r>
        <w:rPr>
          <w:rFonts w:ascii="Times New Roman" w:hAnsi="Times New Roman"/>
          <w:sz w:val="28"/>
        </w:rPr>
        <w:t xml:space="preserve">В данном разделе нужно кратко описать ожидаемые конечные результаты реализации </w:t>
      </w:r>
      <w:r>
        <w:rPr>
          <w:rFonts w:ascii="Times New Roman" w:hAnsi="Times New Roman"/>
          <w:sz w:val="28"/>
        </w:rPr>
        <w:t>"дорожной карты"</w:t>
      </w:r>
      <w:r>
        <w:rPr>
          <w:rFonts w:ascii="Times New Roman" w:hAnsi="Times New Roman"/>
          <w:sz w:val="28"/>
        </w:rPr>
        <w:t xml:space="preserve"> в соответствии с целью и задачами</w:t>
      </w:r>
      <w:r>
        <w:rPr>
          <w:rFonts w:ascii="Times New Roman" w:hAnsi="Times New Roman"/>
          <w:sz w:val="28"/>
        </w:rPr>
        <w:t>.</w:t>
      </w:r>
      <w:bookmarkStart w:id="11" w:name="_dx_frag_StartFragment"/>
      <w:bookmarkEnd w:id="11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Конечные результаты желательно представить в виде изменений, отражающих эффект от реализованных мер в соответствии с выбранными показателями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  <w:r>
        <w:drawing>
          <wp:inline xmlns:wp="http://schemas.openxmlformats.org/drawingml/2006/wordprocessingDrawing">
            <wp:extent cx="6098540" cy="42799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279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b w:val="0"/>
          <w:sz w:val="28"/>
        </w:rPr>
      </w:pP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Примеры направлений работы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bookmarkStart w:id="12" w:name="_dx_frag_StartFragment"/>
      <w:bookmarkEnd w:id="12"/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i w:val="1"/>
          <w:sz w:val="28"/>
        </w:rPr>
        <w:t>Система методического сопровождения педагогов</w:t>
      </w:r>
      <w:r>
        <w:rPr>
          <w:rFonts w:ascii="Times New Roman" w:hAnsi="Times New Roman"/>
          <w:i w:val="1"/>
          <w:sz w:val="28"/>
        </w:rPr>
        <w:t>.</w:t>
      </w:r>
      <w:r>
        <w:rPr>
          <w:rFonts w:ascii="Times New Roman" w:hAnsi="Times New Roman"/>
          <w:sz w:val="28"/>
        </w:rPr>
        <w:t xml:space="preserve"> Профессиональное развитие педагогов происходит не только в рамках прохождения ими курсов повышения квалификации. В значительной степени на профессионализм педагога оказывает влияние его повседневная профессиональная деятельность, в том числе общение с коллегами.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 xml:space="preserve"> </w:t>
      </w:r>
      <w:bookmarkStart w:id="13" w:name="_dx_frag_StartFragment"/>
      <w:bookmarkEnd w:id="13"/>
      <w:r>
        <w:rPr>
          <w:rFonts w:ascii="Times New Roman" w:hAnsi="Times New Roman"/>
          <w:i w:val="1"/>
          <w:sz w:val="28"/>
        </w:rPr>
        <w:t>Создание в</w:t>
      </w:r>
      <w:r>
        <w:rPr>
          <w:rFonts w:ascii="Times New Roman" w:hAnsi="Times New Roman"/>
          <w:i w:val="1"/>
          <w:sz w:val="28"/>
        </w:rPr>
        <w:t>нутришкольн</w:t>
      </w:r>
      <w:r>
        <w:rPr>
          <w:rFonts w:ascii="Times New Roman" w:hAnsi="Times New Roman"/>
          <w:i w:val="1"/>
          <w:sz w:val="28"/>
        </w:rPr>
        <w:t>ой</w:t>
      </w:r>
      <w:r>
        <w:rPr>
          <w:rFonts w:ascii="Times New Roman" w:hAnsi="Times New Roman"/>
          <w:i w:val="1"/>
          <w:sz w:val="28"/>
        </w:rPr>
        <w:t xml:space="preserve"> систем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>а объективной оценки качества подготовки обучающихся</w:t>
      </w:r>
      <w:r>
        <w:rPr>
          <w:rFonts w:ascii="Times New Roman" w:hAnsi="Times New Roman"/>
          <w:i w:val="1"/>
          <w:sz w:val="28"/>
        </w:rPr>
        <w:t>.</w:t>
      </w:r>
      <w:r>
        <w:rPr>
          <w:rFonts w:ascii="Times New Roman" w:hAnsi="Times New Roman"/>
          <w:sz w:val="28"/>
        </w:rPr>
        <w:t xml:space="preserve"> Такая система должна быть выстроена в каждой школе. Она должна обеспечивать возможность каждому учителю периодически оценивать качество подготовки каждого обучающегося, а директору школы – осуществлять объективный мониторинг качества подготовки обучающихся по всем предметам во всех классах. В отсутствие такой возможности руководство школы не располагает возможностью оценить результативность предпринимаемых мер по развитию школы.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bookmarkStart w:id="14" w:name="_dx_frag_StartFragment"/>
      <w:bookmarkEnd w:id="14"/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i w:val="1"/>
          <w:sz w:val="28"/>
        </w:rPr>
        <w:t>Формирование адресных образовательных программ по работе с обучающимися с трудностями в обучении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Частой причиной учебной неуспешности обучающихся являются слабая сформированность метапредметных умений и/или существенные пробелы в базовой предметной подготовке. Диагностика обучающихся с трудностями в учебной деятельности позволит выявить причины затруднений, например:  слабая сформированность читательских навыков и навыков работы с информацией;  слабая сформированность элементарных математических представлений (чувства числа, пространственных представлений, навыков счета и т.п.);  слабая сформированность навыков самоорганизации, самокоррекции;  конкретные проблемы в предметной подготовке (неосвоенные системообразующие элементы содержания, без владения которыми невозможно понимание следующих тем; слабо сформированные предметные умения, навыки и способы деятельности). По итогам диагностики складывается содержательная картина проблем в обучении каждого класса, которая может быть взята за основу адресной корректировки методики работы учителя и образовательных программ. В зависимости от распространенности среди учеников класса конкретной проблемы в обучении выбираются индивидуальные или групповые формы организации учебной работы.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bookmarkStart w:id="15" w:name="_dx_frag_StartFragment"/>
      <w:bookmarkEnd w:id="15"/>
      <w:bookmarkStart w:id="16" w:name="_dx_frag_StartFragment"/>
      <w:bookmarkEnd w:id="16"/>
      <w:r>
        <w:rPr>
          <w:rFonts w:ascii="Times New Roman" w:hAnsi="Times New Roman"/>
          <w:i w:val="1"/>
          <w:sz w:val="28"/>
        </w:rPr>
        <w:t>Ориентация на обучающегося</w:t>
      </w:r>
      <w:r>
        <w:rPr>
          <w:rFonts w:ascii="Times New Roman" w:hAnsi="Times New Roman"/>
          <w:sz w:val="28"/>
        </w:rPr>
        <w:t xml:space="preserve">. Педагоги школ стараются исходить из возможностей учащихся – они внимательны к самостоятельным проявлениям творчества и готовы его поддерживать. Осознавая трудности, вызванные значительными долями рискового контингента, они стараются развивать компенсаторную функцию образовательного процесса. В том числе поэтому, педагогические коллективы резильентных школ максимально используют систему дополнительного образования для всестороннего развития обучающихся.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z w:val="28"/>
        </w:rPr>
        <w:t xml:space="preserve"> атмосфер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 xml:space="preserve"> комфортного нахождения</w:t>
      </w:r>
      <w:r>
        <w:rPr>
          <w:rFonts w:ascii="Times New Roman" w:hAnsi="Times New Roman"/>
          <w:sz w:val="28"/>
        </w:rPr>
        <w:t xml:space="preserve">. Вовлеченные, любящие учиться учителя, создают атмосферу, при которой школьники учатся учиться, и получают от этого удовольствие. Это приводит к тому, что учащиеся </w:t>
      </w:r>
      <w:r>
        <w:rPr>
          <w:rFonts w:ascii="Times New Roman" w:hAnsi="Times New Roman"/>
          <w:sz w:val="28"/>
        </w:rPr>
        <w:t xml:space="preserve">сохраняют высокий уровень любознательности на протяжении всей учебы. Комфорт нахождения в школе поддерживается ее инклюзивностью в широкой трактовке термина – школа старается быть как можно более открытой для всех участников образовательных отношений: вовлекает родителей в школьные мероприятия, заручается доверием школьного окружения, работает над своей репутацией в социальной среде. </w:t>
      </w:r>
    </w:p>
    <w:p>
      <w:pPr>
        <w:keepNext w:val="0"/>
        <w:widowControl w:val="1"/>
        <w:shd w:val="clear" w:fill="auto"/>
        <w:spacing w:lineRule="auto" w:line="360" w:after="0" w:beforeAutospacing="0" w:afterAutospacing="0"/>
        <w:ind w:firstLine="72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6. И другие.</w:t>
      </w:r>
    </w:p>
    <w:sectPr>
      <w:type w:val="nextPage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>
      <w:jc w:val="left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3" Type="http://schemas.openxmlformats.org/officeDocument/2006/relationships/image" Target="/media/image3.png" /><Relationship Id="Relimage2" Type="http://schemas.openxmlformats.org/officeDocument/2006/relationships/image" Target="/media/image2.png" /><Relationship Id="Relimage4" Type="http://schemas.openxmlformats.org/officeDocument/2006/relationships/image" Target="/media/image4.png" /><Relationship Id="Relimage1" Type="http://schemas.openxmlformats.org/officeDocument/2006/relationships/image" Target="/media/image1.png" /><Relationship Id="Relimage5" Type="http://schemas.openxmlformats.org/officeDocument/2006/relationships/image" Target="/media/image5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