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C2" w:rsidRPr="005A45C2" w:rsidRDefault="005A45C2" w:rsidP="005A45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A45C2">
        <w:rPr>
          <w:b/>
          <w:sz w:val="28"/>
          <w:szCs w:val="28"/>
        </w:rPr>
        <w:t>роект «Школа эффективного руководителя: решение новых задач»</w:t>
      </w:r>
    </w:p>
    <w:p w:rsidR="00796C29" w:rsidRDefault="00796C29" w:rsidP="005A45C2">
      <w:pPr>
        <w:jc w:val="center"/>
        <w:rPr>
          <w:sz w:val="28"/>
          <w:szCs w:val="28"/>
        </w:rPr>
      </w:pPr>
    </w:p>
    <w:p w:rsidR="00C50877" w:rsidRPr="0032200E" w:rsidRDefault="00C50877" w:rsidP="005A45C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января 2023 года Центр развития управленческих кадров реализует </w:t>
      </w:r>
      <w:r w:rsidRPr="0032200E">
        <w:rPr>
          <w:b/>
          <w:sz w:val="28"/>
          <w:szCs w:val="28"/>
        </w:rPr>
        <w:t>п</w:t>
      </w:r>
      <w:r w:rsidR="00566713" w:rsidRPr="0032200E">
        <w:rPr>
          <w:b/>
          <w:sz w:val="28"/>
          <w:szCs w:val="28"/>
        </w:rPr>
        <w:t xml:space="preserve">роект «Школа эффективного руководителя: решение новых задач» </w:t>
      </w:r>
    </w:p>
    <w:p w:rsidR="0032200E" w:rsidRDefault="0032200E" w:rsidP="005A45C2">
      <w:pPr>
        <w:jc w:val="both"/>
        <w:rPr>
          <w:sz w:val="28"/>
          <w:szCs w:val="28"/>
        </w:rPr>
      </w:pPr>
    </w:p>
    <w:p w:rsidR="00566713" w:rsidRPr="0032200E" w:rsidRDefault="00566713" w:rsidP="005A45C2">
      <w:pPr>
        <w:jc w:val="both"/>
        <w:rPr>
          <w:b/>
          <w:sz w:val="28"/>
          <w:szCs w:val="28"/>
        </w:rPr>
      </w:pPr>
      <w:r w:rsidRPr="0032200E">
        <w:rPr>
          <w:b/>
          <w:sz w:val="28"/>
          <w:szCs w:val="28"/>
        </w:rPr>
        <w:t>Задачи:</w:t>
      </w:r>
    </w:p>
    <w:p w:rsidR="00566713" w:rsidRPr="00D6405E" w:rsidRDefault="00566713" w:rsidP="005A45C2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Командная организация труда в образовательной организации и работа в сотрудничестве.</w:t>
      </w:r>
    </w:p>
    <w:p w:rsidR="00566713" w:rsidRPr="00D6405E" w:rsidRDefault="00566713" w:rsidP="005A45C2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Организация взаимодействия между управленческими командами разных муниципалитетов.</w:t>
      </w:r>
    </w:p>
    <w:p w:rsidR="00566713" w:rsidRPr="00D6405E" w:rsidRDefault="00566713" w:rsidP="005A45C2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405E">
        <w:rPr>
          <w:rFonts w:ascii="Times New Roman" w:hAnsi="Times New Roman" w:cs="Times New Roman"/>
          <w:sz w:val="28"/>
          <w:szCs w:val="28"/>
        </w:rPr>
        <w:t>Маштабирование</w:t>
      </w:r>
      <w:proofErr w:type="spellEnd"/>
      <w:r w:rsidRPr="00D6405E">
        <w:rPr>
          <w:rFonts w:ascii="Times New Roman" w:hAnsi="Times New Roman" w:cs="Times New Roman"/>
          <w:sz w:val="28"/>
          <w:szCs w:val="28"/>
        </w:rPr>
        <w:t xml:space="preserve"> и тиражирование практик, показавших свою высокую эффективность.</w:t>
      </w:r>
    </w:p>
    <w:p w:rsidR="00566713" w:rsidRPr="00D6405E" w:rsidRDefault="00566713" w:rsidP="005A45C2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 xml:space="preserve">Совместная работа управленческих команд над новыми вызовами с целью выработки единой стратегии развития по актуальным направлениям. </w:t>
      </w:r>
    </w:p>
    <w:p w:rsidR="00566713" w:rsidRPr="00D6405E" w:rsidRDefault="00566713" w:rsidP="005A45C2">
      <w:pPr>
        <w:pStyle w:val="a5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Организация наставн</w:t>
      </w:r>
      <w:r w:rsidR="000F038D">
        <w:rPr>
          <w:rFonts w:ascii="Times New Roman" w:hAnsi="Times New Roman" w:cs="Times New Roman"/>
          <w:sz w:val="28"/>
          <w:szCs w:val="28"/>
        </w:rPr>
        <w:t>ичества как внутри муниципалитет</w:t>
      </w:r>
      <w:r w:rsidRPr="00D6405E">
        <w:rPr>
          <w:rFonts w:ascii="Times New Roman" w:hAnsi="Times New Roman" w:cs="Times New Roman"/>
          <w:sz w:val="28"/>
          <w:szCs w:val="28"/>
        </w:rPr>
        <w:t>а между школьными командами, так и на межмуниципальном уровне.</w:t>
      </w:r>
    </w:p>
    <w:p w:rsidR="00566713" w:rsidRPr="00D6405E" w:rsidRDefault="00566713" w:rsidP="005A45C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Одним из новых направлений в деятельности Центра развития управленческих кадров стала выработка системы взаимодействия между управленческими командами не только внутри одного муниципалитета, но и на межмуниципальном уровне.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Апробацию эта идея получила при орга</w:t>
      </w:r>
      <w:r w:rsidR="005A45C2">
        <w:rPr>
          <w:rFonts w:ascii="Times New Roman" w:hAnsi="Times New Roman" w:cs="Times New Roman"/>
          <w:sz w:val="28"/>
          <w:szCs w:val="28"/>
        </w:rPr>
        <w:t xml:space="preserve">низации работы </w:t>
      </w:r>
      <w:r w:rsidR="00C50877">
        <w:rPr>
          <w:rFonts w:ascii="Times New Roman" w:hAnsi="Times New Roman" w:cs="Times New Roman"/>
          <w:sz w:val="28"/>
          <w:szCs w:val="28"/>
        </w:rPr>
        <w:t xml:space="preserve">в ходе проведения командных курсов повышения квалификации по формированию функциональной грамотности </w:t>
      </w:r>
      <w:r w:rsidRPr="00D6405E">
        <w:rPr>
          <w:rFonts w:ascii="Times New Roman" w:hAnsi="Times New Roman" w:cs="Times New Roman"/>
          <w:sz w:val="28"/>
          <w:szCs w:val="28"/>
        </w:rPr>
        <w:t>(первый экспериментальный опыт</w:t>
      </w:r>
      <w:r w:rsidR="00C50877">
        <w:rPr>
          <w:rFonts w:ascii="Times New Roman" w:hAnsi="Times New Roman" w:cs="Times New Roman"/>
          <w:sz w:val="28"/>
          <w:szCs w:val="28"/>
        </w:rPr>
        <w:t xml:space="preserve">- 3 команды по ФГ 2021-2022 и другие </w:t>
      </w:r>
      <w:r w:rsidRPr="00D6405E">
        <w:rPr>
          <w:rFonts w:ascii="Times New Roman" w:hAnsi="Times New Roman" w:cs="Times New Roman"/>
          <w:sz w:val="28"/>
          <w:szCs w:val="28"/>
        </w:rPr>
        <w:t>курсы с командным обучением, которые прошли в 2022 году).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Знакомясь с руководителями образовательных учреждений, становится понятно, что коллеги далеки от содержания образовательного процесса, г</w:t>
      </w:r>
      <w:r w:rsidR="00915AF9">
        <w:rPr>
          <w:rFonts w:ascii="Times New Roman" w:hAnsi="Times New Roman" w:cs="Times New Roman"/>
          <w:sz w:val="28"/>
          <w:szCs w:val="28"/>
        </w:rPr>
        <w:t>лавной своей задачей они считали</w:t>
      </w:r>
      <w:r w:rsidRPr="00D6405E">
        <w:rPr>
          <w:rFonts w:ascii="Times New Roman" w:hAnsi="Times New Roman" w:cs="Times New Roman"/>
          <w:sz w:val="28"/>
          <w:szCs w:val="28"/>
        </w:rPr>
        <w:t xml:space="preserve"> создание комфортных условий: чтобы в школах было тепло, не текли кровли, вовремя поставлялось оборудование. Друг друга они знали мало-встречались только на августовских конференциях и других региональных мероприятиях, причем были там пассивными слушателями.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Началом реализации проекта стало анкетирование руководящих кадров по вопросам прохождения ими курсовой подготовки, организации мероприятий по различным направлениям, опрос об актуальных тенденциях, которые остались не совсем понятными. Таким образом</w:t>
      </w:r>
      <w:r w:rsidR="002D643D">
        <w:rPr>
          <w:rFonts w:ascii="Times New Roman" w:hAnsi="Times New Roman" w:cs="Times New Roman"/>
          <w:sz w:val="28"/>
          <w:szCs w:val="28"/>
        </w:rPr>
        <w:t>,</w:t>
      </w:r>
      <w:r w:rsidRPr="00D6405E">
        <w:rPr>
          <w:rFonts w:ascii="Times New Roman" w:hAnsi="Times New Roman" w:cs="Times New Roman"/>
          <w:sz w:val="28"/>
          <w:szCs w:val="28"/>
        </w:rPr>
        <w:t xml:space="preserve"> создавались условия для формирования на местах команд управленцев, готовых повысить доступность и качество образования.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 xml:space="preserve">Оказалось это непросто, коллеги из муниципалитетов не отличались особой активностью, выяснилось, что пройдет ни один месяц, прежде чем управленческие команды привыкнут к новому формату работы-это проектный подход, </w:t>
      </w:r>
      <w:r w:rsidR="0079560E" w:rsidRPr="0079560E">
        <w:rPr>
          <w:rFonts w:ascii="Times New Roman" w:hAnsi="Times New Roman" w:cs="Times New Roman"/>
          <w:sz w:val="28"/>
          <w:szCs w:val="28"/>
        </w:rPr>
        <w:t xml:space="preserve">скорее </w:t>
      </w:r>
      <w:r w:rsidR="0079560E" w:rsidRPr="00795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SMART-проект</w:t>
      </w:r>
      <w:r w:rsidR="0079560E">
        <w:rPr>
          <w:rFonts w:ascii="Arial" w:hAnsi="Arial" w:cs="Arial"/>
          <w:color w:val="333333"/>
          <w:shd w:val="clear" w:color="auto" w:fill="FFFFFF"/>
        </w:rPr>
        <w:t xml:space="preserve">, </w:t>
      </w:r>
      <w:r w:rsidRPr="00D6405E">
        <w:rPr>
          <w:rFonts w:ascii="Times New Roman" w:hAnsi="Times New Roman" w:cs="Times New Roman"/>
          <w:sz w:val="28"/>
          <w:szCs w:val="28"/>
        </w:rPr>
        <w:t xml:space="preserve">при котором удается сделать акцент на тех или иных задачах, важных для конкретного </w:t>
      </w:r>
      <w:proofErr w:type="spellStart"/>
      <w:r w:rsidRPr="00D6405E">
        <w:rPr>
          <w:rFonts w:ascii="Times New Roman" w:hAnsi="Times New Roman" w:cs="Times New Roman"/>
          <w:sz w:val="28"/>
          <w:szCs w:val="28"/>
        </w:rPr>
        <w:t>муниципалитела</w:t>
      </w:r>
      <w:proofErr w:type="spellEnd"/>
      <w:r w:rsidRPr="00D6405E">
        <w:rPr>
          <w:rFonts w:ascii="Times New Roman" w:hAnsi="Times New Roman" w:cs="Times New Roman"/>
          <w:sz w:val="28"/>
          <w:szCs w:val="28"/>
        </w:rPr>
        <w:t xml:space="preserve"> или образовательной организации в  данный период, будь то управление </w:t>
      </w:r>
      <w:r w:rsidRPr="00D6405E">
        <w:rPr>
          <w:rFonts w:ascii="Times New Roman" w:hAnsi="Times New Roman" w:cs="Times New Roman"/>
          <w:sz w:val="28"/>
          <w:szCs w:val="28"/>
        </w:rPr>
        <w:lastRenderedPageBreak/>
        <w:t>качеством образования, методическая работа, формирование функциональной грамотности, дистанционные образовательные технологии и многое другое.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Проектный подход стал актуален при введении обновленных ФГО</w:t>
      </w:r>
      <w:r w:rsidR="00D270B7">
        <w:rPr>
          <w:rFonts w:ascii="Times New Roman" w:hAnsi="Times New Roman" w:cs="Times New Roman"/>
          <w:sz w:val="28"/>
          <w:szCs w:val="28"/>
        </w:rPr>
        <w:t>С</w:t>
      </w:r>
      <w:r w:rsidR="004C06D5">
        <w:rPr>
          <w:rFonts w:ascii="Times New Roman" w:hAnsi="Times New Roman" w:cs="Times New Roman"/>
          <w:sz w:val="28"/>
          <w:szCs w:val="28"/>
        </w:rPr>
        <w:t xml:space="preserve">, </w:t>
      </w:r>
      <w:r w:rsidRPr="00D6405E">
        <w:rPr>
          <w:rFonts w:ascii="Times New Roman" w:hAnsi="Times New Roman" w:cs="Times New Roman"/>
          <w:sz w:val="28"/>
          <w:szCs w:val="28"/>
        </w:rPr>
        <w:t xml:space="preserve">когда приходилось корректировать не только нормативно-правовую базу, а и перестаивать работу коллектива по многим направлениям. Затем переход на ФОП, где необходимо было изучить много законодательных документов и методических рекомендаций, чтобы выстроить единую систему переформатирования во всех муниципалитетах. 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И первые встречи показали свою эффективность, когда руководители, обмениваясь уже имеющейся у них информацией, понимали, что в этой «школе я могу не только предложить свой опыт, но при этом - п</w:t>
      </w:r>
      <w:r w:rsidR="0020780B">
        <w:rPr>
          <w:rFonts w:ascii="Times New Roman" w:hAnsi="Times New Roman" w:cs="Times New Roman"/>
          <w:sz w:val="28"/>
          <w:szCs w:val="28"/>
        </w:rPr>
        <w:t>олучить многое взамен». В диску</w:t>
      </w:r>
      <w:r w:rsidR="0020780B" w:rsidRPr="00D6405E">
        <w:rPr>
          <w:rFonts w:ascii="Times New Roman" w:hAnsi="Times New Roman" w:cs="Times New Roman"/>
          <w:sz w:val="28"/>
          <w:szCs w:val="28"/>
        </w:rPr>
        <w:t>с</w:t>
      </w:r>
      <w:r w:rsidR="0020780B">
        <w:rPr>
          <w:rFonts w:ascii="Times New Roman" w:hAnsi="Times New Roman" w:cs="Times New Roman"/>
          <w:sz w:val="28"/>
          <w:szCs w:val="28"/>
        </w:rPr>
        <w:t>си</w:t>
      </w:r>
      <w:r w:rsidR="0020780B" w:rsidRPr="00D6405E">
        <w:rPr>
          <w:rFonts w:ascii="Times New Roman" w:hAnsi="Times New Roman" w:cs="Times New Roman"/>
          <w:sz w:val="28"/>
          <w:szCs w:val="28"/>
        </w:rPr>
        <w:t>онной</w:t>
      </w:r>
      <w:r w:rsidRPr="00D6405E">
        <w:rPr>
          <w:rFonts w:ascii="Times New Roman" w:hAnsi="Times New Roman" w:cs="Times New Roman"/>
          <w:sz w:val="28"/>
          <w:szCs w:val="28"/>
        </w:rPr>
        <w:t xml:space="preserve"> беседе приходили в общему мнению и, например, вырабатывалась единая стратегия реализации того или иного направления, единая структура документа. Работая над проектами, выделялись свои лидеры, которые не только разбираются в вопросах развития системы образования, но и способные вести за собой. И здесь решается еще одна задача –поддержка начинающих управленцев (</w:t>
      </w:r>
      <w:proofErr w:type="spellStart"/>
      <w:r w:rsidRPr="00D6405E">
        <w:rPr>
          <w:rFonts w:ascii="Times New Roman" w:hAnsi="Times New Roman" w:cs="Times New Roman"/>
          <w:sz w:val="28"/>
          <w:szCs w:val="28"/>
        </w:rPr>
        <w:t>менторство</w:t>
      </w:r>
      <w:proofErr w:type="spellEnd"/>
      <w:r w:rsidRPr="00D6405E">
        <w:rPr>
          <w:rFonts w:ascii="Times New Roman" w:hAnsi="Times New Roman" w:cs="Times New Roman"/>
          <w:sz w:val="28"/>
          <w:szCs w:val="28"/>
        </w:rPr>
        <w:t>).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 xml:space="preserve">На следующем этапе наш проект ставил целью организацию сотрудничества муниципальных команд, обсуждение и тиражирование эффективных практик. 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 xml:space="preserve">В перспективе –создание региональной команды управленцев, которые разделяют общие идеи, понимают, что нужно делать и движутся в одном направлении. </w:t>
      </w:r>
    </w:p>
    <w:p w:rsidR="00566713" w:rsidRPr="00D6405E" w:rsidRDefault="00566713" w:rsidP="005A45C2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6405E">
        <w:rPr>
          <w:rFonts w:ascii="Times New Roman" w:hAnsi="Times New Roman" w:cs="Times New Roman"/>
          <w:sz w:val="28"/>
          <w:szCs w:val="28"/>
        </w:rPr>
        <w:t>По результатам нескольких мероприятий стало очевидным, что такой подход в работе с управленческими кадрами становится альтернативой жесткому администрированию. К тому же руководители глубже погружаются в проблемы школы, лучше понимают региональные и федеральные тренды, что дает им моральное право требовать результаты и от других.</w:t>
      </w:r>
    </w:p>
    <w:p w:rsidR="00566713" w:rsidRPr="008F4208" w:rsidRDefault="008F4208" w:rsidP="008F4208">
      <w:pPr>
        <w:pStyle w:val="a5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8F4208">
        <w:rPr>
          <w:rFonts w:ascii="Times New Roman" w:hAnsi="Times New Roman" w:cs="Times New Roman"/>
          <w:sz w:val="28"/>
          <w:szCs w:val="28"/>
        </w:rPr>
        <w:t>Еще одно актуальное направление в планах сообщества - формирование резерва управленческих кадров. Для более эффективного взаимодействия по данному вопросу с ОО и муниципалитетами был разработан чек-лист на основании критериев мониторинга эффективности руководителей ОО в рамках региональной системы управления качеством образования в Брянской области.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9"/>
        <w:gridCol w:w="5359"/>
        <w:gridCol w:w="2489"/>
      </w:tblGrid>
      <w:tr w:rsidR="007E29DF" w:rsidRPr="00151BDC" w:rsidTr="007E29DF"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9DF" w:rsidRPr="00151BDC" w:rsidRDefault="007E29DF" w:rsidP="008F4208">
            <w:r w:rsidRPr="00151BDC">
              <w:t>Чек-лист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>
            <w:r w:rsidRPr="00151BDC">
              <w:t>Критерий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633CAF" w:rsidP="00D16ADA">
            <w:r w:rsidRPr="00151BDC">
              <w:t xml:space="preserve">Отметка о </w:t>
            </w:r>
            <w:r w:rsidR="007E29DF" w:rsidRPr="00151BDC">
              <w:t xml:space="preserve"> выполнении или наличии (при необходимости ссылка)</w:t>
            </w:r>
          </w:p>
        </w:tc>
      </w:tr>
      <w:tr w:rsidR="007E29DF" w:rsidRPr="00151BDC" w:rsidTr="007E29DF"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9DF" w:rsidRPr="00151BDC" w:rsidRDefault="007E29DF" w:rsidP="008F4208">
            <w:r w:rsidRPr="00151BDC">
              <w:t>Для образовательных организаций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>
            <w:r w:rsidRPr="00151BDC">
              <w:t>Наличие критериев отбора претендентов для включения в кадровый резерв руководителей образовательных организаций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7E29D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 w:rsidP="008F4208"/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>
            <w:r w:rsidRPr="00151BDC">
              <w:t xml:space="preserve">Общее количество </w:t>
            </w:r>
            <w:r w:rsidRPr="00151BDC">
              <w:rPr>
                <w:b/>
              </w:rPr>
              <w:t>лиц</w:t>
            </w:r>
            <w:r w:rsidRPr="00151BDC">
              <w:t>, зачисленных в резерв управленческих кадров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7E29D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9DF" w:rsidRPr="00151BDC" w:rsidRDefault="007E29DF">
            <w:pPr>
              <w:rPr>
                <w:lang w:eastAsia="en-US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>
            <w:r w:rsidRPr="00151BDC">
              <w:t xml:space="preserve">Количество </w:t>
            </w:r>
            <w:r w:rsidRPr="00151BDC">
              <w:rPr>
                <w:b/>
              </w:rPr>
              <w:t>лиц,</w:t>
            </w:r>
            <w:r w:rsidRPr="00151BDC">
              <w:t xml:space="preserve"> зачисленных в резерв управленческих кадров, имеющих планы индивидуального развития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7E29D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9DF" w:rsidRPr="00151BDC" w:rsidRDefault="007E29DF">
            <w:pPr>
              <w:rPr>
                <w:lang w:eastAsia="en-US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>
            <w:r w:rsidRPr="00151BDC">
              <w:t xml:space="preserve">Количество </w:t>
            </w:r>
            <w:r w:rsidRPr="00151BDC">
              <w:rPr>
                <w:b/>
              </w:rPr>
              <w:t>лиц,</w:t>
            </w:r>
            <w:r w:rsidRPr="00151BDC">
              <w:t xml:space="preserve"> зачисленных в резерв управленческих кадров, выполнивших планы индивидуального развития за отчетный период на 100%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7E29D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9DF" w:rsidRPr="00151BDC" w:rsidRDefault="007E29DF">
            <w:pPr>
              <w:rPr>
                <w:lang w:eastAsia="en-US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>
            <w:r w:rsidRPr="00151BDC">
              <w:t xml:space="preserve">Количество </w:t>
            </w:r>
            <w:r w:rsidRPr="00151BDC">
              <w:rPr>
                <w:b/>
              </w:rPr>
              <w:t>претендентов</w:t>
            </w:r>
            <w:r w:rsidRPr="00151BDC">
              <w:t xml:space="preserve"> для включения в кадровый резерв, прошедших обучение в отчетный период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7E29D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9DF" w:rsidRPr="00151BDC" w:rsidRDefault="007E29DF">
            <w:pPr>
              <w:rPr>
                <w:lang w:eastAsia="en-US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>
            <w:r w:rsidRPr="00151BDC">
              <w:t xml:space="preserve">Количество </w:t>
            </w:r>
            <w:r w:rsidRPr="00151BDC">
              <w:rPr>
                <w:b/>
              </w:rPr>
              <w:t>претендентов</w:t>
            </w:r>
            <w:r w:rsidRPr="00151BDC">
              <w:t xml:space="preserve"> для включения в кадровый резерв, назначенных на руководящие должности в отчетный период</w:t>
            </w:r>
            <w:r w:rsidR="00353714" w:rsidRPr="00151BDC">
              <w:t xml:space="preserve"> (в </w:t>
            </w:r>
            <w:proofErr w:type="spellStart"/>
            <w:r w:rsidR="00353714" w:rsidRPr="00151BDC">
              <w:t>т.ч</w:t>
            </w:r>
            <w:proofErr w:type="spellEnd"/>
            <w:r w:rsidR="00353714" w:rsidRPr="00151BDC">
              <w:t xml:space="preserve">. и  на зам </w:t>
            </w:r>
            <w:proofErr w:type="spellStart"/>
            <w:r w:rsidR="00353714" w:rsidRPr="00151BDC">
              <w:t>дир</w:t>
            </w:r>
            <w:proofErr w:type="spellEnd"/>
            <w:r w:rsidR="00353714" w:rsidRPr="00151BDC">
              <w:t>.)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7E29D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9DF" w:rsidRPr="00151BDC" w:rsidRDefault="007E29DF">
            <w:pPr>
              <w:rPr>
                <w:lang w:eastAsia="en-US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>
            <w:r w:rsidRPr="00151BDC">
              <w:t xml:space="preserve">Количество </w:t>
            </w:r>
            <w:r w:rsidRPr="00151BDC">
              <w:rPr>
                <w:b/>
              </w:rPr>
              <w:t>претендентов</w:t>
            </w:r>
            <w:r w:rsidRPr="00151BDC">
              <w:t xml:space="preserve"> для включения в кадровый резерв, охваченных личностно-профессиональной диагностикой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 w:rsidP="00026CCA"/>
        </w:tc>
      </w:tr>
      <w:tr w:rsidR="007E29DF" w:rsidRPr="00151BDC" w:rsidTr="00353714">
        <w:trPr>
          <w:trHeight w:val="912"/>
        </w:trPr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9DF" w:rsidRPr="00151BDC" w:rsidRDefault="007E29DF">
            <w:pPr>
              <w:rPr>
                <w:lang w:eastAsia="en-US"/>
              </w:rPr>
            </w:pP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DF" w:rsidRPr="00151BDC" w:rsidRDefault="007E29DF">
            <w:r w:rsidRPr="00151BDC">
              <w:t xml:space="preserve">Количество </w:t>
            </w:r>
            <w:r w:rsidRPr="00151BDC">
              <w:rPr>
                <w:b/>
              </w:rPr>
              <w:t>претендентов</w:t>
            </w:r>
            <w:r w:rsidRPr="00151BDC">
              <w:t xml:space="preserve"> для включения в кадровый резерв, успешно прошедших личностно-профессиональную диагностику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DF" w:rsidRPr="00151BDC" w:rsidRDefault="007E29DF"/>
        </w:tc>
      </w:tr>
      <w:tr w:rsidR="0026715F" w:rsidRPr="00151BDC" w:rsidTr="007E29DF"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15F" w:rsidRPr="00151BDC" w:rsidRDefault="0026715F" w:rsidP="00D12481">
            <w:r w:rsidRPr="00151BDC">
              <w:t>По подготовке школьных управленческих команд для муниципалитетов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26715F">
            <w:r w:rsidRPr="00151BDC">
              <w:t>Наличие критериев отбора претендентов для включения в кадровый резерв руководителей единых для всех ОО муниципалитета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BE2E92">
            <w:r w:rsidRPr="00151BDC">
              <w:t xml:space="preserve">Ссылка </w:t>
            </w:r>
          </w:p>
        </w:tc>
      </w:tr>
      <w:tr w:rsidR="0026715F" w:rsidRPr="00151BDC" w:rsidTr="006F1670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15F" w:rsidRPr="00151BDC" w:rsidRDefault="0026715F" w:rsidP="00D12481"/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26715F">
            <w:r w:rsidRPr="00151BDC">
              <w:t>Наличие механизма сопровождения профессионального развития руководителей образовательных организаций (в муниципалитете)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BE2E92">
            <w:r w:rsidRPr="00151BDC">
              <w:t xml:space="preserve">Ссылка </w:t>
            </w:r>
          </w:p>
        </w:tc>
      </w:tr>
      <w:tr w:rsidR="0026715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15F" w:rsidRPr="00151BDC" w:rsidRDefault="0026715F" w:rsidP="00D12481"/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26715F">
            <w:r w:rsidRPr="00151BDC">
              <w:t>Наличие системы оценки эффективности работы руководителей образовательных организаций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BE2E92">
            <w:r w:rsidRPr="00151BDC">
              <w:t xml:space="preserve">Ссылка </w:t>
            </w:r>
          </w:p>
        </w:tc>
      </w:tr>
      <w:tr w:rsidR="0026715F" w:rsidRPr="00151BDC" w:rsidTr="007E29DF"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15F" w:rsidRPr="00151BDC" w:rsidRDefault="0026715F"/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5F" w:rsidRPr="00151BDC" w:rsidRDefault="00BE2E92" w:rsidP="003313B3">
            <w:r w:rsidRPr="00151BDC">
              <w:t xml:space="preserve">В муниципалитете </w:t>
            </w:r>
            <w:r w:rsidR="0026715F" w:rsidRPr="00151BDC">
              <w:t>сформирован кадровый резерв на замещение должностей руководителей ОО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5F" w:rsidRPr="00151BDC" w:rsidRDefault="0026715F" w:rsidP="003313B3"/>
        </w:tc>
      </w:tr>
      <w:tr w:rsidR="00DF307D" w:rsidRPr="00151BDC" w:rsidTr="007E29DF"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</w:tcPr>
          <w:p w:rsidR="00DF307D" w:rsidRPr="00151BDC" w:rsidRDefault="00DF307D">
            <w:r>
              <w:t>Другое</w:t>
            </w:r>
            <w:bookmarkStart w:id="0" w:name="_GoBack"/>
            <w:bookmarkEnd w:id="0"/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7D" w:rsidRPr="00151BDC" w:rsidRDefault="00DF307D" w:rsidP="003313B3"/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7D" w:rsidRPr="00151BDC" w:rsidRDefault="00DF307D" w:rsidP="003313B3"/>
        </w:tc>
      </w:tr>
    </w:tbl>
    <w:p w:rsidR="00566713" w:rsidRDefault="00566713" w:rsidP="005A45C2">
      <w:pPr>
        <w:ind w:firstLine="709"/>
        <w:jc w:val="both"/>
      </w:pPr>
    </w:p>
    <w:p w:rsidR="0043530B" w:rsidRDefault="0043530B" w:rsidP="005A45C2">
      <w:pPr>
        <w:ind w:firstLine="709"/>
        <w:jc w:val="both"/>
      </w:pPr>
    </w:p>
    <w:p w:rsidR="0043530B" w:rsidRDefault="0043530B" w:rsidP="005A45C2">
      <w:pPr>
        <w:ind w:firstLine="709"/>
        <w:jc w:val="both"/>
      </w:pPr>
    </w:p>
    <w:p w:rsidR="0043530B" w:rsidRPr="0043530B" w:rsidRDefault="0043530B" w:rsidP="005A45C2">
      <w:pPr>
        <w:ind w:firstLine="709"/>
        <w:jc w:val="both"/>
        <w:rPr>
          <w:sz w:val="28"/>
          <w:szCs w:val="28"/>
        </w:rPr>
      </w:pPr>
      <w:r w:rsidRPr="0043530B">
        <w:rPr>
          <w:sz w:val="28"/>
          <w:szCs w:val="28"/>
        </w:rPr>
        <w:t xml:space="preserve">Руководитель центра развития </w:t>
      </w:r>
    </w:p>
    <w:p w:rsidR="0043530B" w:rsidRPr="0043530B" w:rsidRDefault="0043530B" w:rsidP="005A45C2">
      <w:pPr>
        <w:ind w:firstLine="709"/>
        <w:jc w:val="both"/>
        <w:rPr>
          <w:sz w:val="28"/>
          <w:szCs w:val="28"/>
        </w:rPr>
      </w:pPr>
      <w:r w:rsidRPr="0043530B">
        <w:rPr>
          <w:sz w:val="28"/>
          <w:szCs w:val="28"/>
        </w:rPr>
        <w:t xml:space="preserve">управленческих кадров                            </w:t>
      </w:r>
      <w:r>
        <w:rPr>
          <w:sz w:val="28"/>
          <w:szCs w:val="28"/>
        </w:rPr>
        <w:t xml:space="preserve">       </w:t>
      </w:r>
      <w:r w:rsidRPr="0043530B">
        <w:rPr>
          <w:sz w:val="28"/>
          <w:szCs w:val="28"/>
        </w:rPr>
        <w:t xml:space="preserve">                     Т.В. Ляшенко</w:t>
      </w:r>
    </w:p>
    <w:sectPr w:rsidR="0043530B" w:rsidRPr="0043530B" w:rsidSect="00E5425D">
      <w:pgSz w:w="11910" w:h="16840"/>
      <w:pgMar w:top="1100" w:right="743" w:bottom="280" w:left="1160" w:header="714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79A6"/>
    <w:multiLevelType w:val="hybridMultilevel"/>
    <w:tmpl w:val="4E8CAF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1330F1"/>
    <w:multiLevelType w:val="hybridMultilevel"/>
    <w:tmpl w:val="A72814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E85443"/>
    <w:multiLevelType w:val="hybridMultilevel"/>
    <w:tmpl w:val="9C12F6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FB01D4"/>
    <w:multiLevelType w:val="hybridMultilevel"/>
    <w:tmpl w:val="9446CE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16566D"/>
    <w:multiLevelType w:val="hybridMultilevel"/>
    <w:tmpl w:val="36163CD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4462C1"/>
    <w:multiLevelType w:val="hybridMultilevel"/>
    <w:tmpl w:val="A3045B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E142491"/>
    <w:multiLevelType w:val="hybridMultilevel"/>
    <w:tmpl w:val="180AB3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D37916"/>
    <w:multiLevelType w:val="hybridMultilevel"/>
    <w:tmpl w:val="2A0A1C4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321000B"/>
    <w:multiLevelType w:val="hybridMultilevel"/>
    <w:tmpl w:val="B28AFC6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762E0F12"/>
    <w:multiLevelType w:val="hybridMultilevel"/>
    <w:tmpl w:val="D60A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5E"/>
    <w:rsid w:val="00026CCA"/>
    <w:rsid w:val="00030BE7"/>
    <w:rsid w:val="00092463"/>
    <w:rsid w:val="00094F8A"/>
    <w:rsid w:val="000D2886"/>
    <w:rsid w:val="000F038D"/>
    <w:rsid w:val="00151BDC"/>
    <w:rsid w:val="00162703"/>
    <w:rsid w:val="001A1A22"/>
    <w:rsid w:val="0020272D"/>
    <w:rsid w:val="0020780B"/>
    <w:rsid w:val="0026715F"/>
    <w:rsid w:val="002677ED"/>
    <w:rsid w:val="00290230"/>
    <w:rsid w:val="002D643D"/>
    <w:rsid w:val="00303263"/>
    <w:rsid w:val="0032200E"/>
    <w:rsid w:val="003313B3"/>
    <w:rsid w:val="00353714"/>
    <w:rsid w:val="00386460"/>
    <w:rsid w:val="00391CFF"/>
    <w:rsid w:val="00416A9F"/>
    <w:rsid w:val="0043530B"/>
    <w:rsid w:val="00440C05"/>
    <w:rsid w:val="004C06D5"/>
    <w:rsid w:val="004E2875"/>
    <w:rsid w:val="004E41B5"/>
    <w:rsid w:val="005244F8"/>
    <w:rsid w:val="00534F49"/>
    <w:rsid w:val="00566713"/>
    <w:rsid w:val="00590931"/>
    <w:rsid w:val="005A0B1F"/>
    <w:rsid w:val="005A2891"/>
    <w:rsid w:val="005A45C2"/>
    <w:rsid w:val="0060022B"/>
    <w:rsid w:val="00633CAF"/>
    <w:rsid w:val="006625E0"/>
    <w:rsid w:val="00662E63"/>
    <w:rsid w:val="006700A3"/>
    <w:rsid w:val="00701075"/>
    <w:rsid w:val="00752AC5"/>
    <w:rsid w:val="00765AF4"/>
    <w:rsid w:val="00775A63"/>
    <w:rsid w:val="00783B31"/>
    <w:rsid w:val="007938C8"/>
    <w:rsid w:val="0079560E"/>
    <w:rsid w:val="00796C29"/>
    <w:rsid w:val="007A5D7A"/>
    <w:rsid w:val="007E29DF"/>
    <w:rsid w:val="007F5C8D"/>
    <w:rsid w:val="00805F5B"/>
    <w:rsid w:val="008B415E"/>
    <w:rsid w:val="008F4208"/>
    <w:rsid w:val="00911037"/>
    <w:rsid w:val="00915AF9"/>
    <w:rsid w:val="0093319E"/>
    <w:rsid w:val="009813D3"/>
    <w:rsid w:val="0098488A"/>
    <w:rsid w:val="00993AE1"/>
    <w:rsid w:val="009E0B2B"/>
    <w:rsid w:val="00A0222B"/>
    <w:rsid w:val="00A05607"/>
    <w:rsid w:val="00A60590"/>
    <w:rsid w:val="00A958EE"/>
    <w:rsid w:val="00B128FB"/>
    <w:rsid w:val="00B1449B"/>
    <w:rsid w:val="00BA632F"/>
    <w:rsid w:val="00BE2E92"/>
    <w:rsid w:val="00C5003E"/>
    <w:rsid w:val="00C50877"/>
    <w:rsid w:val="00C6045E"/>
    <w:rsid w:val="00C96BEA"/>
    <w:rsid w:val="00CD19D6"/>
    <w:rsid w:val="00D16ADA"/>
    <w:rsid w:val="00D20049"/>
    <w:rsid w:val="00D270B7"/>
    <w:rsid w:val="00D5145B"/>
    <w:rsid w:val="00D52E0E"/>
    <w:rsid w:val="00D53D7C"/>
    <w:rsid w:val="00D6405E"/>
    <w:rsid w:val="00D66443"/>
    <w:rsid w:val="00DF307D"/>
    <w:rsid w:val="00E35D26"/>
    <w:rsid w:val="00E4532D"/>
    <w:rsid w:val="00E5425D"/>
    <w:rsid w:val="00E75BD5"/>
    <w:rsid w:val="00E93566"/>
    <w:rsid w:val="00F46BE7"/>
    <w:rsid w:val="00F64E30"/>
    <w:rsid w:val="00FC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DCC4"/>
  <w15:chartTrackingRefBased/>
  <w15:docId w15:val="{4969D9F0-E479-442A-A38C-FD4F6E70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4F49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34F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66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D5145B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59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2023-02-17T12:19:00Z</dcterms:created>
  <dcterms:modified xsi:type="dcterms:W3CDTF">2023-08-08T08:42:00Z</dcterms:modified>
</cp:coreProperties>
</file>